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67" w:type="dxa"/>
        <w:tblInd w:w="8" w:type="dxa"/>
        <w:tblLayout w:type="fixed"/>
        <w:tblCellMar>
          <w:left w:w="0" w:type="dxa"/>
          <w:bottom w:w="29" w:type="dxa"/>
          <w:right w:w="0" w:type="dxa"/>
        </w:tblCellMar>
        <w:tblLook w:val="04A0" w:firstRow="1" w:lastRow="0" w:firstColumn="1" w:lastColumn="0" w:noHBand="0" w:noVBand="1"/>
      </w:tblPr>
      <w:tblGrid>
        <w:gridCol w:w="3915"/>
        <w:gridCol w:w="5452"/>
      </w:tblGrid>
      <w:tr w:rsidR="00C45569" w14:paraId="4C78D765" w14:textId="77777777" w:rsidTr="007F010A">
        <w:tc>
          <w:tcPr>
            <w:tcW w:w="3915" w:type="dxa"/>
            <w:shd w:val="clear" w:color="auto" w:fill="auto"/>
          </w:tcPr>
          <w:p w14:paraId="5B5AAE9A" w14:textId="77777777" w:rsidR="00C45569" w:rsidRPr="00F82846" w:rsidRDefault="00C45569" w:rsidP="007F010A">
            <w:pPr>
              <w:widowControl w:val="0"/>
              <w:spacing w:after="0"/>
              <w:rPr>
                <w:rFonts w:ascii="Work Sans" w:hAnsi="Work Sans"/>
                <w:sz w:val="17"/>
                <w:szCs w:val="17"/>
              </w:rPr>
            </w:pPr>
            <w:r w:rsidRPr="00F82846">
              <w:rPr>
                <w:rFonts w:ascii="Work Sans" w:hAnsi="Work Sans"/>
                <w:sz w:val="17"/>
                <w:szCs w:val="17"/>
              </w:rPr>
              <w:t xml:space="preserve">Código validación comunicación: </w:t>
            </w:r>
            <w:proofErr w:type="spellStart"/>
            <w:r w:rsidRPr="00F82846">
              <w:rPr>
                <w:rFonts w:ascii="Work Sans" w:hAnsi="Work Sans"/>
                <w:sz w:val="17"/>
                <w:szCs w:val="17"/>
              </w:rPr>
              <w:t>cod_val_rad</w:t>
            </w:r>
            <w:proofErr w:type="spellEnd"/>
          </w:p>
        </w:tc>
        <w:tc>
          <w:tcPr>
            <w:tcW w:w="5451" w:type="dxa"/>
            <w:shd w:val="clear" w:color="auto" w:fill="auto"/>
          </w:tcPr>
          <w:p w14:paraId="40E92D3A" w14:textId="77777777" w:rsidR="00C45569" w:rsidRDefault="00C45569" w:rsidP="007F010A">
            <w:pPr>
              <w:widowControl w:val="0"/>
              <w:spacing w:after="0"/>
              <w:jc w:val="right"/>
              <w:rPr>
                <w:rFonts w:ascii="Work Sans" w:hAnsi="Work Sans"/>
                <w:sz w:val="17"/>
                <w:szCs w:val="17"/>
                <w:lang w:val="pt-BR"/>
              </w:rPr>
            </w:pPr>
            <w:r>
              <w:rPr>
                <w:rFonts w:ascii="Work Sans" w:hAnsi="Work Sans"/>
                <w:sz w:val="17"/>
                <w:szCs w:val="17"/>
                <w:lang w:val="pt-BR"/>
              </w:rPr>
              <w:t>Código Dependencia: depe_var</w:t>
            </w:r>
          </w:p>
        </w:tc>
      </w:tr>
      <w:tr w:rsidR="00C45569" w14:paraId="64DA6549" w14:textId="77777777" w:rsidTr="007F010A">
        <w:tc>
          <w:tcPr>
            <w:tcW w:w="3915" w:type="dxa"/>
            <w:shd w:val="clear" w:color="auto" w:fill="auto"/>
          </w:tcPr>
          <w:p w14:paraId="52EC28EA" w14:textId="77777777" w:rsidR="00C45569" w:rsidRDefault="00C45569" w:rsidP="007F010A">
            <w:pPr>
              <w:widowControl w:val="0"/>
              <w:spacing w:after="0"/>
              <w:rPr>
                <w:rFonts w:ascii="Work Sans" w:hAnsi="Work Sans"/>
                <w:sz w:val="17"/>
                <w:szCs w:val="17"/>
                <w:lang w:val="pt-BR"/>
              </w:rPr>
            </w:pPr>
            <w:r>
              <w:rPr>
                <w:rFonts w:ascii="Work Sans" w:hAnsi="Work Sans"/>
                <w:sz w:val="17"/>
                <w:szCs w:val="17"/>
                <w:lang w:val="pt-BR"/>
              </w:rPr>
              <w:t>cod_exp</w:t>
            </w:r>
            <w:r>
              <w:rPr>
                <w:rFonts w:ascii="Work Sans" w:hAnsi="Work Sans"/>
                <w:sz w:val="17"/>
                <w:szCs w:val="17"/>
                <w:lang w:val="pt-BR"/>
              </w:rPr>
              <w:br/>
              <w:t>cod_val_exp</w:t>
            </w:r>
          </w:p>
        </w:tc>
        <w:tc>
          <w:tcPr>
            <w:tcW w:w="5451" w:type="dxa"/>
            <w:shd w:val="clear" w:color="auto" w:fill="auto"/>
          </w:tcPr>
          <w:p w14:paraId="48EA7013" w14:textId="77777777" w:rsidR="00C45569" w:rsidRDefault="00C45569" w:rsidP="007F010A">
            <w:pPr>
              <w:widowControl w:val="0"/>
              <w:spacing w:after="0"/>
              <w:jc w:val="right"/>
              <w:rPr>
                <w:rFonts w:ascii="Work Sans" w:hAnsi="Work Sans"/>
                <w:sz w:val="17"/>
                <w:szCs w:val="17"/>
              </w:rPr>
            </w:pPr>
            <w:r>
              <w:rPr>
                <w:rFonts w:ascii="Work Sans" w:eastAsia="Times New Roman" w:hAnsi="Work Sans" w:cs="Times New Roman"/>
                <w:sz w:val="17"/>
                <w:szCs w:val="17"/>
                <w:lang w:val="pt-BR" w:eastAsia="es-ES"/>
              </w:rPr>
              <w:t>Acceso: Reservado (ac_res), Público (ac_pub), Clasificado (ac_cla)</w:t>
            </w:r>
          </w:p>
        </w:tc>
      </w:tr>
    </w:tbl>
    <w:p w14:paraId="296CA04D" w14:textId="77777777" w:rsidR="00C45569" w:rsidRDefault="00C45569" w:rsidP="00C45569">
      <w:pPr>
        <w:ind w:right="49"/>
        <w:rPr>
          <w:rFonts w:ascii="Work Sans ExtraLight" w:hAnsi="Work Sans ExtraLight"/>
          <w:sz w:val="16"/>
          <w:lang w:val="pt-BR"/>
        </w:rPr>
      </w:pPr>
    </w:p>
    <w:p w14:paraId="474E6A56" w14:textId="77777777" w:rsidR="00C45569" w:rsidRDefault="00C45569" w:rsidP="00C45569">
      <w:pPr>
        <w:spacing w:after="0"/>
        <w:rPr>
          <w:rFonts w:ascii="Work Sans" w:hAnsi="Work Sans"/>
          <w:sz w:val="24"/>
          <w:szCs w:val="24"/>
          <w:lang w:val="pt-BR"/>
        </w:rPr>
      </w:pPr>
      <w:r>
        <w:rPr>
          <w:rFonts w:ascii="Work Sans" w:hAnsi="Work Sans"/>
          <w:sz w:val="24"/>
          <w:szCs w:val="24"/>
          <w:lang w:val="pt-BR"/>
        </w:rPr>
        <w:t>Bogotá, D.C.</w:t>
      </w:r>
    </w:p>
    <w:p w14:paraId="26524035" w14:textId="77777777" w:rsidR="00C45569" w:rsidRDefault="00C45569" w:rsidP="00C45569">
      <w:pPr>
        <w:spacing w:after="0"/>
        <w:rPr>
          <w:rFonts w:ascii="Work Sans" w:hAnsi="Work Sans" w:cs="Arial"/>
          <w:sz w:val="24"/>
          <w:szCs w:val="24"/>
        </w:rPr>
      </w:pPr>
    </w:p>
    <w:p w14:paraId="3C75F85D" w14:textId="77777777" w:rsidR="00C45569" w:rsidRPr="001A1CDE" w:rsidRDefault="00C45569" w:rsidP="00C45569">
      <w:pPr>
        <w:spacing w:after="0"/>
        <w:rPr>
          <w:rFonts w:ascii="Work Sans" w:hAnsi="Work Sans"/>
          <w:sz w:val="24"/>
          <w:szCs w:val="24"/>
          <w:lang w:val="pt-BR"/>
        </w:rPr>
      </w:pPr>
      <w:r w:rsidRPr="001A1CDE">
        <w:rPr>
          <w:rFonts w:ascii="Work Sans" w:hAnsi="Work Sans"/>
          <w:sz w:val="24"/>
          <w:szCs w:val="24"/>
          <w:lang w:val="pt-BR"/>
        </w:rPr>
        <w:t>encabezado</w:t>
      </w:r>
    </w:p>
    <w:p w14:paraId="14C5C9BA" w14:textId="77777777" w:rsidR="00C45569" w:rsidRPr="00B044B7" w:rsidRDefault="00C45569" w:rsidP="00C45569">
      <w:pPr>
        <w:spacing w:after="0"/>
        <w:rPr>
          <w:rFonts w:ascii="Work Sans" w:hAnsi="Work Sans"/>
          <w:sz w:val="24"/>
          <w:szCs w:val="24"/>
          <w:lang w:val="pt-BR"/>
        </w:rPr>
      </w:pPr>
      <w:r w:rsidRPr="00B044B7">
        <w:rPr>
          <w:rFonts w:ascii="Work Sans" w:hAnsi="Work Sans" w:cs="Arial"/>
          <w:b/>
          <w:bCs/>
          <w:sz w:val="24"/>
          <w:szCs w:val="24"/>
          <w:lang w:val="pt-BR"/>
        </w:rPr>
        <w:t>nombredestinatario</w:t>
      </w:r>
      <w:r w:rsidRPr="00B044B7">
        <w:rPr>
          <w:rFonts w:ascii="Work Sans" w:hAnsi="Work Sans"/>
          <w:sz w:val="24"/>
          <w:szCs w:val="24"/>
          <w:lang w:val="pt-BR"/>
        </w:rPr>
        <w:br/>
        <w:t>dir_r</w:t>
      </w:r>
      <w:r w:rsidRPr="00B044B7">
        <w:rPr>
          <w:rFonts w:ascii="Work Sans" w:hAnsi="Work Sans"/>
          <w:sz w:val="24"/>
          <w:szCs w:val="24"/>
          <w:lang w:val="pt-BR"/>
        </w:rPr>
        <w:br/>
        <w:t>muni_r depto_r</w:t>
      </w:r>
    </w:p>
    <w:p w14:paraId="02D8920E" w14:textId="77777777" w:rsidR="00C45569" w:rsidRPr="00B044B7" w:rsidRDefault="00C45569" w:rsidP="00C45569">
      <w:pPr>
        <w:pStyle w:val="Textoindependiente"/>
        <w:ind w:right="40"/>
        <w:rPr>
          <w:rFonts w:ascii="Work Sans" w:hAnsi="Work Sans"/>
          <w:szCs w:val="24"/>
          <w:lang w:val="pt-BR"/>
        </w:rPr>
      </w:pPr>
    </w:p>
    <w:p w14:paraId="4967E061" w14:textId="77777777" w:rsidR="00C45569" w:rsidRDefault="00C45569" w:rsidP="00C45569">
      <w:pPr>
        <w:pStyle w:val="Textoindependiente"/>
        <w:ind w:left="993" w:right="40" w:hanging="993"/>
        <w:jc w:val="left"/>
        <w:rPr>
          <w:rFonts w:ascii="Work Sans" w:hAnsi="Work Sans"/>
          <w:szCs w:val="24"/>
        </w:rPr>
      </w:pPr>
      <w:r>
        <w:rPr>
          <w:rFonts w:ascii="Work Sans" w:hAnsi="Work Sans"/>
          <w:szCs w:val="24"/>
        </w:rPr>
        <w:t xml:space="preserve">Asunto: </w:t>
      </w:r>
      <w:r>
        <w:rPr>
          <w:rFonts w:ascii="Work Sans" w:hAnsi="Work Sans"/>
          <w:szCs w:val="24"/>
        </w:rPr>
        <w:tab/>
      </w:r>
      <w:proofErr w:type="spellStart"/>
      <w:r>
        <w:rPr>
          <w:rFonts w:ascii="Work Sans" w:hAnsi="Work Sans"/>
          <w:szCs w:val="24"/>
        </w:rPr>
        <w:t>r_asunto</w:t>
      </w:r>
      <w:proofErr w:type="spellEnd"/>
    </w:p>
    <w:p w14:paraId="753C9A9D" w14:textId="7B919588" w:rsidR="00C45569" w:rsidRPr="00F82846" w:rsidRDefault="00C45569" w:rsidP="00C45569">
      <w:pPr>
        <w:spacing w:after="0" w:line="240" w:lineRule="auto"/>
        <w:ind w:right="51"/>
        <w:contextualSpacing/>
        <w:jc w:val="both"/>
        <w:rPr>
          <w:rFonts w:ascii="Work Sans" w:hAnsi="Work Sans" w:cs="Arial"/>
          <w:sz w:val="24"/>
          <w:szCs w:val="24"/>
        </w:rPr>
      </w:pPr>
    </w:p>
    <w:p w14:paraId="31046F46" w14:textId="77777777" w:rsidR="00C45569" w:rsidRDefault="00C45569" w:rsidP="00C45569">
      <w:pPr>
        <w:spacing w:after="0" w:line="240" w:lineRule="auto"/>
        <w:ind w:right="51"/>
        <w:contextualSpacing/>
        <w:jc w:val="both"/>
        <w:rPr>
          <w:rFonts w:ascii="Work Sans" w:hAnsi="Work Sans" w:cs="Arial"/>
          <w:sz w:val="24"/>
          <w:szCs w:val="24"/>
        </w:rPr>
      </w:pPr>
    </w:p>
    <w:p w14:paraId="0B5A07B6" w14:textId="77777777" w:rsidR="0054248A" w:rsidRPr="00F82846" w:rsidRDefault="0054248A" w:rsidP="0054248A">
      <w:pPr>
        <w:spacing w:after="0" w:line="240" w:lineRule="auto"/>
        <w:ind w:right="51"/>
        <w:contextualSpacing/>
        <w:jc w:val="both"/>
        <w:rPr>
          <w:rFonts w:ascii="Work Sans" w:hAnsi="Work Sans" w:cs="Arial"/>
          <w:sz w:val="24"/>
          <w:szCs w:val="24"/>
        </w:rPr>
      </w:pPr>
      <w:r w:rsidRPr="00F82846">
        <w:rPr>
          <w:rFonts w:ascii="Work Sans" w:hAnsi="Work Sans" w:cs="Arial"/>
          <w:sz w:val="24"/>
          <w:szCs w:val="24"/>
        </w:rPr>
        <w:t>Respetado Ciudadano,</w:t>
      </w:r>
    </w:p>
    <w:p w14:paraId="17E68259" w14:textId="77777777" w:rsidR="0054248A" w:rsidRPr="00F82846" w:rsidRDefault="0054248A" w:rsidP="0054248A">
      <w:pPr>
        <w:spacing w:after="0" w:line="240" w:lineRule="auto"/>
        <w:ind w:right="51"/>
        <w:contextualSpacing/>
        <w:jc w:val="both"/>
        <w:rPr>
          <w:rFonts w:ascii="Work Sans" w:hAnsi="Work Sans" w:cs="Arial"/>
          <w:sz w:val="24"/>
          <w:szCs w:val="24"/>
        </w:rPr>
      </w:pPr>
    </w:p>
    <w:p w14:paraId="012350C6" w14:textId="77777777" w:rsidR="0054248A" w:rsidRPr="00F82846" w:rsidRDefault="0054248A" w:rsidP="0054248A">
      <w:pPr>
        <w:spacing w:line="240" w:lineRule="auto"/>
        <w:ind w:right="51"/>
        <w:contextualSpacing/>
        <w:jc w:val="both"/>
        <w:rPr>
          <w:rFonts w:ascii="Work Sans" w:hAnsi="Work Sans" w:cs="Arial"/>
          <w:sz w:val="24"/>
          <w:szCs w:val="24"/>
        </w:rPr>
      </w:pPr>
      <w:r w:rsidRPr="005353AB">
        <w:rPr>
          <w:rFonts w:ascii="Work Sans" w:hAnsi="Work Sans" w:cs="Arial"/>
          <w:sz w:val="24"/>
          <w:szCs w:val="24"/>
        </w:rPr>
        <w:t>En atención a su manifestación</w:t>
      </w:r>
      <w:r>
        <w:rPr>
          <w:rFonts w:ascii="Work Sans" w:hAnsi="Work Sans" w:cs="Arial"/>
          <w:sz w:val="24"/>
          <w:szCs w:val="24"/>
        </w:rPr>
        <w:t xml:space="preserve"> sobre los </w:t>
      </w:r>
      <w:r w:rsidRPr="00F82846">
        <w:rPr>
          <w:rFonts w:ascii="Work Sans" w:hAnsi="Work Sans" w:cs="Arial"/>
          <w:sz w:val="24"/>
          <w:szCs w:val="24"/>
        </w:rPr>
        <w:t xml:space="preserve">elevados precios </w:t>
      </w:r>
      <w:r>
        <w:rPr>
          <w:rFonts w:ascii="Work Sans" w:hAnsi="Work Sans" w:cs="Arial"/>
          <w:sz w:val="24"/>
          <w:szCs w:val="24"/>
        </w:rPr>
        <w:t>de la gasolina motor corriente, r</w:t>
      </w:r>
      <w:r w:rsidRPr="005353AB">
        <w:rPr>
          <w:rFonts w:ascii="Work Sans" w:hAnsi="Work Sans" w:cs="Arial"/>
          <w:sz w:val="24"/>
          <w:szCs w:val="24"/>
        </w:rPr>
        <w:t>adicad</w:t>
      </w:r>
      <w:r>
        <w:rPr>
          <w:rFonts w:ascii="Work Sans" w:hAnsi="Work Sans" w:cs="Arial"/>
          <w:sz w:val="24"/>
          <w:szCs w:val="24"/>
        </w:rPr>
        <w:t>o</w:t>
      </w:r>
      <w:r w:rsidRPr="005353AB">
        <w:rPr>
          <w:rFonts w:ascii="Work Sans" w:hAnsi="Work Sans" w:cs="Arial"/>
          <w:sz w:val="24"/>
          <w:szCs w:val="24"/>
        </w:rPr>
        <w:t xml:space="preserve"> bajo el número del asunto</w:t>
      </w:r>
      <w:r w:rsidRPr="00FA4E44">
        <w:rPr>
          <w:rFonts w:ascii="Work Sans" w:hAnsi="Work Sans" w:cs="Arial"/>
          <w:sz w:val="24"/>
          <w:szCs w:val="24"/>
        </w:rPr>
        <w:t>, desde la Dirección de Hidrocarburos del Ministerio de Minas y Energía damos respuesta a su solicitud en los siguientes términos:</w:t>
      </w:r>
    </w:p>
    <w:p w14:paraId="42DE777F" w14:textId="77777777" w:rsidR="0054248A" w:rsidRPr="00F82846" w:rsidRDefault="0054248A" w:rsidP="0054248A">
      <w:pPr>
        <w:spacing w:after="0" w:line="240" w:lineRule="auto"/>
        <w:ind w:right="51"/>
        <w:contextualSpacing/>
        <w:jc w:val="both"/>
        <w:rPr>
          <w:rFonts w:ascii="Work Sans" w:hAnsi="Work Sans" w:cs="Arial"/>
          <w:sz w:val="24"/>
          <w:szCs w:val="24"/>
        </w:rPr>
      </w:pPr>
    </w:p>
    <w:p w14:paraId="6B9B2C7C" w14:textId="77777777" w:rsidR="0054248A" w:rsidRPr="00F82846" w:rsidRDefault="0054248A" w:rsidP="0054248A">
      <w:pPr>
        <w:numPr>
          <w:ilvl w:val="0"/>
          <w:numId w:val="6"/>
        </w:numPr>
        <w:pBdr>
          <w:top w:val="nil"/>
          <w:left w:val="nil"/>
          <w:bottom w:val="nil"/>
          <w:right w:val="nil"/>
          <w:between w:val="nil"/>
        </w:pBdr>
        <w:suppressAutoHyphens w:val="0"/>
        <w:spacing w:after="0" w:line="240" w:lineRule="auto"/>
        <w:jc w:val="both"/>
        <w:rPr>
          <w:rFonts w:ascii="Work Sans" w:eastAsia="Work Sans" w:hAnsi="Work Sans" w:cs="Work Sans"/>
          <w:b/>
          <w:color w:val="000000"/>
          <w:sz w:val="24"/>
          <w:szCs w:val="24"/>
        </w:rPr>
      </w:pPr>
      <w:r w:rsidRPr="00F82846">
        <w:rPr>
          <w:rFonts w:ascii="Work Sans" w:eastAsia="Work Sans" w:hAnsi="Work Sans" w:cs="Work Sans"/>
          <w:b/>
          <w:color w:val="000000"/>
          <w:sz w:val="24"/>
          <w:szCs w:val="24"/>
        </w:rPr>
        <w:t xml:space="preserve">Marco normativo aplicable. </w:t>
      </w:r>
    </w:p>
    <w:p w14:paraId="3B068530" w14:textId="77777777" w:rsidR="0054248A" w:rsidRPr="00F82846" w:rsidRDefault="0054248A" w:rsidP="0054248A">
      <w:pPr>
        <w:pBdr>
          <w:top w:val="nil"/>
          <w:left w:val="nil"/>
          <w:bottom w:val="nil"/>
          <w:right w:val="nil"/>
          <w:between w:val="nil"/>
        </w:pBdr>
        <w:suppressAutoHyphens w:val="0"/>
        <w:spacing w:after="0" w:line="240" w:lineRule="auto"/>
        <w:jc w:val="both"/>
        <w:rPr>
          <w:rFonts w:ascii="Work Sans" w:eastAsia="Work Sans" w:hAnsi="Work Sans" w:cs="Work Sans"/>
          <w:b/>
          <w:color w:val="000000"/>
          <w:sz w:val="24"/>
          <w:szCs w:val="24"/>
        </w:rPr>
      </w:pPr>
    </w:p>
    <w:p w14:paraId="04304AE6" w14:textId="77777777" w:rsidR="0054248A" w:rsidRPr="00F82846" w:rsidRDefault="0054248A" w:rsidP="0054248A">
      <w:pPr>
        <w:spacing w:after="0" w:line="240" w:lineRule="auto"/>
        <w:ind w:right="51"/>
        <w:jc w:val="both"/>
        <w:rPr>
          <w:rFonts w:ascii="Work Sans" w:eastAsia="Work Sans" w:hAnsi="Work Sans" w:cs="Work Sans"/>
          <w:sz w:val="24"/>
          <w:szCs w:val="24"/>
        </w:rPr>
      </w:pPr>
      <w:r w:rsidRPr="007C65C0">
        <w:rPr>
          <w:rFonts w:ascii="Work Sans" w:hAnsi="Work Sans" w:cs="Arial"/>
          <w:sz w:val="24"/>
          <w:szCs w:val="24"/>
        </w:rPr>
        <w:t>En primer lugar, en relación con las facultades de este ministerio en materia de precios de los combustibles, indicamos que de acuerdo con lo definido en el artículo 244 de la Ley 2294 de 2023, del Plan Nacional de Desarrollo 2022 – 2026</w:t>
      </w:r>
      <w:r w:rsidRPr="00F82846">
        <w:rPr>
          <w:rFonts w:ascii="Work Sans" w:eastAsia="Work Sans" w:hAnsi="Work Sans" w:cs="Work Sans"/>
          <w:sz w:val="24"/>
          <w:szCs w:val="24"/>
        </w:rPr>
        <w:t>, se dispuso que corresponde a los Ministerios de Hacienda y Crédito Público y de Minas y Energía, o la entidad delegada, establecer la metodología de cálculo del valor del ingreso al productor de los combustibles líquidos y biocombustibles (rubro de la estructura de precio de venta de estos combustibles).</w:t>
      </w:r>
    </w:p>
    <w:p w14:paraId="4BB5FF78" w14:textId="77777777" w:rsidR="0054248A" w:rsidRPr="00F82846" w:rsidRDefault="0054248A" w:rsidP="0054248A">
      <w:pPr>
        <w:spacing w:after="0" w:line="240" w:lineRule="auto"/>
        <w:ind w:right="51"/>
        <w:jc w:val="both"/>
        <w:rPr>
          <w:rFonts w:ascii="Work Sans" w:eastAsia="Work Sans" w:hAnsi="Work Sans" w:cs="Work Sans"/>
          <w:sz w:val="24"/>
          <w:szCs w:val="24"/>
        </w:rPr>
      </w:pPr>
    </w:p>
    <w:p w14:paraId="201674FD" w14:textId="77777777" w:rsidR="0054248A" w:rsidRPr="00F82846" w:rsidRDefault="0054248A" w:rsidP="0054248A">
      <w:pPr>
        <w:spacing w:after="0" w:line="240" w:lineRule="auto"/>
        <w:ind w:right="51"/>
        <w:jc w:val="both"/>
        <w:rPr>
          <w:rFonts w:ascii="Work Sans" w:eastAsia="Work Sans" w:hAnsi="Work Sans" w:cs="Work Sans"/>
          <w:sz w:val="24"/>
          <w:szCs w:val="24"/>
        </w:rPr>
      </w:pPr>
      <w:r w:rsidRPr="00F82846">
        <w:rPr>
          <w:rFonts w:ascii="Work Sans" w:eastAsia="Work Sans" w:hAnsi="Work Sans" w:cs="Work Sans"/>
          <w:sz w:val="24"/>
          <w:szCs w:val="24"/>
        </w:rPr>
        <w:t xml:space="preserve">Por su parte, de acuerdo con la resolución 40193 del 21 de junio del 2021, </w:t>
      </w:r>
      <w:r w:rsidRPr="00F82846">
        <w:rPr>
          <w:rFonts w:ascii="Work Sans" w:eastAsia="Work Sans" w:hAnsi="Work Sans" w:cs="Work Sans"/>
          <w:i/>
          <w:sz w:val="24"/>
          <w:szCs w:val="24"/>
        </w:rPr>
        <w:t>“Por la cual se delegan funciones de regulación del sector de combustibles líquidos en la Comisión de Regulación de Energía y Gas -CREG”</w:t>
      </w:r>
      <w:r w:rsidRPr="00F82846">
        <w:rPr>
          <w:rFonts w:ascii="Work Sans" w:eastAsia="Work Sans" w:hAnsi="Work Sans" w:cs="Work Sans"/>
          <w:sz w:val="24"/>
          <w:szCs w:val="24"/>
        </w:rPr>
        <w:t xml:space="preserve">, la CREG a partir de la entrada en vigencia del acto administrativo es la entidad encargada de la definición de tarifas y márgenes asociados a la remuneración de toda la cadena </w:t>
      </w:r>
      <w:r w:rsidRPr="00F82846">
        <w:rPr>
          <w:rFonts w:ascii="Work Sans" w:eastAsia="Work Sans" w:hAnsi="Work Sans" w:cs="Work Sans"/>
          <w:sz w:val="24"/>
          <w:szCs w:val="24"/>
        </w:rPr>
        <w:lastRenderedPageBreak/>
        <w:t>de transporte, logística, comercialización y distribución de dichos combustibles que hacen parte del mercado regulado.</w:t>
      </w:r>
    </w:p>
    <w:p w14:paraId="1892D1F3" w14:textId="77777777" w:rsidR="0054248A" w:rsidRPr="00F82846" w:rsidRDefault="0054248A" w:rsidP="0054248A">
      <w:pPr>
        <w:spacing w:after="0" w:line="240" w:lineRule="auto"/>
        <w:ind w:right="51"/>
        <w:jc w:val="both"/>
        <w:rPr>
          <w:rFonts w:ascii="Work Sans" w:eastAsia="Work Sans" w:hAnsi="Work Sans" w:cs="Work Sans"/>
          <w:sz w:val="24"/>
          <w:szCs w:val="24"/>
        </w:rPr>
      </w:pPr>
    </w:p>
    <w:p w14:paraId="538D080E" w14:textId="77777777" w:rsidR="0054248A" w:rsidRPr="00F82846" w:rsidRDefault="0054248A" w:rsidP="0054248A">
      <w:pPr>
        <w:numPr>
          <w:ilvl w:val="0"/>
          <w:numId w:val="6"/>
        </w:numPr>
        <w:pBdr>
          <w:top w:val="nil"/>
          <w:left w:val="nil"/>
          <w:bottom w:val="nil"/>
          <w:right w:val="nil"/>
          <w:between w:val="nil"/>
        </w:pBdr>
        <w:suppressAutoHyphens w:val="0"/>
        <w:spacing w:after="0" w:line="240" w:lineRule="auto"/>
        <w:jc w:val="both"/>
        <w:rPr>
          <w:rFonts w:ascii="Work Sans" w:eastAsia="Work Sans" w:hAnsi="Work Sans" w:cs="Work Sans"/>
          <w:b/>
          <w:color w:val="000000"/>
          <w:sz w:val="24"/>
          <w:szCs w:val="24"/>
        </w:rPr>
      </w:pPr>
      <w:r w:rsidRPr="00F82846">
        <w:rPr>
          <w:rFonts w:ascii="Work Sans" w:eastAsia="Work Sans" w:hAnsi="Work Sans" w:cs="Work Sans"/>
          <w:b/>
          <w:color w:val="000000"/>
          <w:sz w:val="24"/>
          <w:szCs w:val="24"/>
        </w:rPr>
        <w:t xml:space="preserve">Estructura de precios. </w:t>
      </w:r>
    </w:p>
    <w:p w14:paraId="647AE470" w14:textId="77777777" w:rsidR="0054248A" w:rsidRPr="00F82846" w:rsidRDefault="0054248A" w:rsidP="0054248A">
      <w:pPr>
        <w:pBdr>
          <w:top w:val="nil"/>
          <w:left w:val="nil"/>
          <w:bottom w:val="nil"/>
          <w:right w:val="nil"/>
          <w:between w:val="nil"/>
        </w:pBdr>
        <w:suppressAutoHyphens w:val="0"/>
        <w:spacing w:after="0" w:line="240" w:lineRule="auto"/>
        <w:jc w:val="both"/>
        <w:rPr>
          <w:rFonts w:ascii="Work Sans" w:eastAsia="Work Sans" w:hAnsi="Work Sans" w:cs="Work Sans"/>
          <w:b/>
          <w:color w:val="000000"/>
          <w:sz w:val="24"/>
          <w:szCs w:val="24"/>
        </w:rPr>
      </w:pPr>
    </w:p>
    <w:p w14:paraId="599A9758"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r w:rsidRPr="00F82846">
        <w:rPr>
          <w:rFonts w:ascii="Work Sans" w:eastAsia="Work Sans" w:hAnsi="Work Sans" w:cs="Work Sans"/>
          <w:color w:val="000000"/>
          <w:sz w:val="24"/>
          <w:szCs w:val="24"/>
        </w:rPr>
        <w:t>Conforme al marco normativo los precios de los combustibles en Colombia, en particular de la gasolina corriente y del ACPM (Diésel), se encuentran regulados en cabeza de las disposiciones que establece el Ministerio de Minas y Energía y el Ministerio de Hacienda y Crédito Público. Así, mismo a lo largo del tiempo este Ministerio ha establecido regularmente los valores de los diferentes componentes que hacen parte de la estructura de precios de los combustibles.</w:t>
      </w:r>
    </w:p>
    <w:p w14:paraId="1AACF213"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p>
    <w:p w14:paraId="77CF73FA"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r w:rsidRPr="00F82846">
        <w:rPr>
          <w:rFonts w:ascii="Work Sans" w:eastAsia="Work Sans" w:hAnsi="Work Sans" w:cs="Work Sans"/>
          <w:color w:val="000000"/>
          <w:sz w:val="24"/>
          <w:szCs w:val="24"/>
        </w:rPr>
        <w:t>Al estar regulados, la estructura de precios de estos combustibles debe ser acogida por todos los agentes de la cadena de distribución, incluidos los distribuidores minoristas.</w:t>
      </w:r>
    </w:p>
    <w:p w14:paraId="6CA13D0C"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p>
    <w:p w14:paraId="00AFDFB0"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r w:rsidRPr="00F82846">
        <w:rPr>
          <w:rFonts w:ascii="Work Sans" w:eastAsia="Work Sans" w:hAnsi="Work Sans" w:cs="Work Sans"/>
          <w:color w:val="000000"/>
          <w:sz w:val="24"/>
          <w:szCs w:val="24"/>
        </w:rPr>
        <w:t>De manera ilustrativa e indicativa, a continuación, en la Tabla No. 1 se listan las variables más relevantes que definen la estructura de precios de referencia para la venta al público de los combustibles Gasolina Motor Corriente Oxigenada y ACPM con mezcla de biocombustible, a nivel nacional.</w:t>
      </w:r>
    </w:p>
    <w:p w14:paraId="76250CD2" w14:textId="77777777" w:rsidR="0054248A" w:rsidRPr="00F82846" w:rsidRDefault="0054248A" w:rsidP="0054248A">
      <w:pPr>
        <w:pBdr>
          <w:top w:val="nil"/>
          <w:left w:val="nil"/>
          <w:bottom w:val="nil"/>
          <w:right w:val="nil"/>
          <w:between w:val="nil"/>
        </w:pBdr>
        <w:spacing w:after="0" w:line="240" w:lineRule="auto"/>
        <w:jc w:val="both"/>
        <w:rPr>
          <w:rFonts w:ascii="Work Sans" w:eastAsia="Work Sans" w:hAnsi="Work Sans" w:cs="Work Sans"/>
          <w:color w:val="000000"/>
          <w:sz w:val="24"/>
          <w:szCs w:val="24"/>
        </w:rPr>
      </w:pPr>
    </w:p>
    <w:p w14:paraId="0669C2BD" w14:textId="77777777" w:rsidR="0054248A" w:rsidRPr="00F82846" w:rsidRDefault="0054248A" w:rsidP="0054248A">
      <w:pPr>
        <w:pBdr>
          <w:top w:val="nil"/>
          <w:left w:val="nil"/>
          <w:bottom w:val="nil"/>
          <w:right w:val="nil"/>
          <w:between w:val="nil"/>
        </w:pBdr>
        <w:spacing w:after="0" w:line="240" w:lineRule="auto"/>
        <w:jc w:val="center"/>
        <w:rPr>
          <w:rFonts w:ascii="Work Sans" w:eastAsia="Work Sans" w:hAnsi="Work Sans" w:cs="Work Sans"/>
          <w:b/>
          <w:color w:val="000000"/>
          <w:sz w:val="24"/>
          <w:szCs w:val="24"/>
        </w:rPr>
      </w:pPr>
      <w:r w:rsidRPr="00F82846">
        <w:rPr>
          <w:rFonts w:ascii="Work Sans" w:eastAsia="Work Sans" w:hAnsi="Work Sans" w:cs="Work Sans"/>
          <w:b/>
          <w:color w:val="000000"/>
          <w:sz w:val="24"/>
          <w:szCs w:val="24"/>
        </w:rPr>
        <w:t xml:space="preserve">Tabla 1. Relación de las variables que definen estructura de precios de los </w:t>
      </w:r>
    </w:p>
    <w:p w14:paraId="226081A3" w14:textId="77777777" w:rsidR="0054248A" w:rsidRPr="00F82846" w:rsidRDefault="0054248A" w:rsidP="0054248A">
      <w:pPr>
        <w:pBdr>
          <w:top w:val="nil"/>
          <w:left w:val="nil"/>
          <w:bottom w:val="nil"/>
          <w:right w:val="nil"/>
          <w:between w:val="nil"/>
        </w:pBdr>
        <w:spacing w:after="0" w:line="240" w:lineRule="auto"/>
        <w:jc w:val="center"/>
        <w:rPr>
          <w:rFonts w:ascii="Work Sans" w:eastAsia="Work Sans" w:hAnsi="Work Sans" w:cs="Work Sans"/>
          <w:b/>
          <w:color w:val="000000"/>
          <w:sz w:val="24"/>
          <w:szCs w:val="24"/>
        </w:rPr>
      </w:pPr>
      <w:r w:rsidRPr="00F82846">
        <w:rPr>
          <w:rFonts w:ascii="Work Sans" w:eastAsia="Work Sans" w:hAnsi="Work Sans" w:cs="Work Sans"/>
          <w:b/>
          <w:color w:val="000000"/>
          <w:sz w:val="24"/>
          <w:szCs w:val="24"/>
        </w:rPr>
        <w:t xml:space="preserve">combustibles. </w:t>
      </w:r>
    </w:p>
    <w:p w14:paraId="6B5A0DCC" w14:textId="77777777" w:rsidR="0054248A" w:rsidRPr="00943D13" w:rsidRDefault="0054248A" w:rsidP="0054248A">
      <w:pPr>
        <w:pBdr>
          <w:top w:val="nil"/>
          <w:left w:val="nil"/>
          <w:bottom w:val="nil"/>
          <w:right w:val="nil"/>
          <w:between w:val="nil"/>
        </w:pBdr>
        <w:spacing w:after="0" w:line="240" w:lineRule="auto"/>
        <w:jc w:val="center"/>
        <w:rPr>
          <w:rFonts w:ascii="Work Sans" w:eastAsia="Work Sans" w:hAnsi="Work Sans" w:cs="Work Sans"/>
          <w:b/>
          <w:color w:val="000000"/>
        </w:rPr>
      </w:pPr>
    </w:p>
    <w:tbl>
      <w:tblPr>
        <w:tblW w:w="9110" w:type="dxa"/>
        <w:jc w:val="center"/>
        <w:tblLayout w:type="fixed"/>
        <w:tblLook w:val="0400" w:firstRow="0" w:lastRow="0" w:firstColumn="0" w:lastColumn="0" w:noHBand="0" w:noVBand="1"/>
      </w:tblPr>
      <w:tblGrid>
        <w:gridCol w:w="6169"/>
        <w:gridCol w:w="2941"/>
      </w:tblGrid>
      <w:tr w:rsidR="0054248A" w:rsidRPr="00943D13" w14:paraId="671EB398" w14:textId="77777777" w:rsidTr="009F5353">
        <w:trPr>
          <w:trHeight w:val="19"/>
          <w:tblHeader/>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0452A" w14:textId="77777777" w:rsidR="0054248A" w:rsidRPr="00943D13" w:rsidRDefault="0054248A" w:rsidP="009F5353">
            <w:pPr>
              <w:spacing w:after="0" w:line="200" w:lineRule="auto"/>
              <w:jc w:val="center"/>
              <w:rPr>
                <w:rFonts w:ascii="Work Sans" w:eastAsia="Work Sans" w:hAnsi="Work Sans" w:cs="Work Sans"/>
                <w:b/>
              </w:rPr>
            </w:pPr>
            <w:r w:rsidRPr="00943D13">
              <w:rPr>
                <w:rFonts w:ascii="Work Sans" w:eastAsia="Work Sans" w:hAnsi="Work Sans" w:cs="Work Sans"/>
                <w:b/>
              </w:rPr>
              <w:t>Estructura precio GASOLINA MC Oxigenada</w:t>
            </w:r>
          </w:p>
        </w:tc>
        <w:tc>
          <w:tcPr>
            <w:tcW w:w="2941" w:type="dxa"/>
            <w:tcBorders>
              <w:top w:val="single" w:sz="4" w:space="0" w:color="000000"/>
              <w:left w:val="nil"/>
              <w:bottom w:val="single" w:sz="4" w:space="0" w:color="000000"/>
              <w:right w:val="single" w:sz="4" w:space="0" w:color="000000"/>
            </w:tcBorders>
            <w:shd w:val="clear" w:color="auto" w:fill="auto"/>
            <w:vAlign w:val="center"/>
          </w:tcPr>
          <w:p w14:paraId="68FA5869" w14:textId="77777777" w:rsidR="0054248A" w:rsidRPr="00943D13" w:rsidRDefault="0054248A" w:rsidP="009F5353">
            <w:pPr>
              <w:spacing w:after="0" w:line="200" w:lineRule="auto"/>
              <w:jc w:val="center"/>
              <w:rPr>
                <w:rFonts w:ascii="Work Sans" w:eastAsia="Work Sans" w:hAnsi="Work Sans" w:cs="Work Sans"/>
                <w:b/>
              </w:rPr>
            </w:pPr>
            <w:r w:rsidRPr="00943D13">
              <w:rPr>
                <w:rFonts w:ascii="Work Sans" w:eastAsia="Work Sans" w:hAnsi="Work Sans" w:cs="Work Sans"/>
                <w:b/>
              </w:rPr>
              <w:t xml:space="preserve"> Tipo de Componente </w:t>
            </w:r>
          </w:p>
        </w:tc>
      </w:tr>
      <w:tr w:rsidR="0054248A" w:rsidRPr="00943D13" w14:paraId="070C2751"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FDCCD4D"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1.   Proporción </w:t>
            </w:r>
            <w:proofErr w:type="gramStart"/>
            <w:r w:rsidRPr="00943D13">
              <w:rPr>
                <w:rFonts w:ascii="Work Sans" w:eastAsia="Work Sans" w:hAnsi="Work Sans" w:cs="Work Sans"/>
              </w:rPr>
              <w:t>-  Ingreso</w:t>
            </w:r>
            <w:proofErr w:type="gramEnd"/>
            <w:r w:rsidRPr="00943D13">
              <w:rPr>
                <w:rFonts w:ascii="Work Sans" w:eastAsia="Work Sans" w:hAnsi="Work Sans" w:cs="Work Sans"/>
              </w:rPr>
              <w:t xml:space="preserve"> al Productor de la Gasolina Motor Corriente</w:t>
            </w:r>
          </w:p>
        </w:tc>
        <w:tc>
          <w:tcPr>
            <w:tcW w:w="2941" w:type="dxa"/>
            <w:tcBorders>
              <w:top w:val="nil"/>
              <w:left w:val="nil"/>
              <w:bottom w:val="single" w:sz="4" w:space="0" w:color="000000"/>
              <w:right w:val="single" w:sz="4" w:space="0" w:color="000000"/>
            </w:tcBorders>
            <w:shd w:val="clear" w:color="auto" w:fill="auto"/>
            <w:vAlign w:val="center"/>
          </w:tcPr>
          <w:p w14:paraId="74BCB8D8"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MME </w:t>
            </w:r>
          </w:p>
        </w:tc>
      </w:tr>
      <w:tr w:rsidR="0054248A" w:rsidRPr="00943D13" w14:paraId="5C554752"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784CF0D1"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2.   Proporción </w:t>
            </w:r>
            <w:proofErr w:type="gramStart"/>
            <w:r w:rsidRPr="00943D13">
              <w:rPr>
                <w:rFonts w:ascii="Work Sans" w:eastAsia="Work Sans" w:hAnsi="Work Sans" w:cs="Work Sans"/>
              </w:rPr>
              <w:t>-  Ingreso</w:t>
            </w:r>
            <w:proofErr w:type="gramEnd"/>
            <w:r w:rsidRPr="00943D13">
              <w:rPr>
                <w:rFonts w:ascii="Work Sans" w:eastAsia="Work Sans" w:hAnsi="Work Sans" w:cs="Work Sans"/>
              </w:rPr>
              <w:t xml:space="preserve"> al Productor del Alcohol Carburante</w:t>
            </w:r>
          </w:p>
        </w:tc>
        <w:tc>
          <w:tcPr>
            <w:tcW w:w="2941" w:type="dxa"/>
            <w:tcBorders>
              <w:top w:val="nil"/>
              <w:left w:val="nil"/>
              <w:bottom w:val="single" w:sz="4" w:space="0" w:color="000000"/>
              <w:right w:val="single" w:sz="4" w:space="0" w:color="000000"/>
            </w:tcBorders>
            <w:shd w:val="clear" w:color="auto" w:fill="auto"/>
            <w:vAlign w:val="center"/>
          </w:tcPr>
          <w:p w14:paraId="3ABF6A1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MME </w:t>
            </w:r>
          </w:p>
        </w:tc>
      </w:tr>
      <w:tr w:rsidR="0054248A" w:rsidRPr="00943D13" w14:paraId="47936599"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4E9E0E9F"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3.   Ingreso al productor de la Gasolina Motor Corriente Oxigenada</w:t>
            </w:r>
          </w:p>
        </w:tc>
        <w:tc>
          <w:tcPr>
            <w:tcW w:w="2941" w:type="dxa"/>
            <w:tcBorders>
              <w:top w:val="nil"/>
              <w:left w:val="nil"/>
              <w:bottom w:val="single" w:sz="4" w:space="0" w:color="000000"/>
              <w:right w:val="single" w:sz="4" w:space="0" w:color="000000"/>
            </w:tcBorders>
            <w:shd w:val="clear" w:color="auto" w:fill="auto"/>
            <w:vAlign w:val="center"/>
          </w:tcPr>
          <w:p w14:paraId="20A3D0F1"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75CFB541"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7CAD7353"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4.   Impuesto Nacional</w:t>
            </w:r>
          </w:p>
        </w:tc>
        <w:tc>
          <w:tcPr>
            <w:tcW w:w="2941" w:type="dxa"/>
            <w:tcBorders>
              <w:top w:val="nil"/>
              <w:left w:val="nil"/>
              <w:bottom w:val="single" w:sz="4" w:space="0" w:color="000000"/>
              <w:right w:val="single" w:sz="4" w:space="0" w:color="000000"/>
            </w:tcBorders>
            <w:shd w:val="clear" w:color="auto" w:fill="auto"/>
            <w:vAlign w:val="center"/>
          </w:tcPr>
          <w:p w14:paraId="252E21B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Impuesto </w:t>
            </w:r>
          </w:p>
        </w:tc>
      </w:tr>
      <w:tr w:rsidR="0054248A" w:rsidRPr="00943D13" w14:paraId="3F405B80"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3C6967AA"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5.   IVA sobre IP Fósil</w:t>
            </w:r>
          </w:p>
        </w:tc>
        <w:tc>
          <w:tcPr>
            <w:tcW w:w="2941" w:type="dxa"/>
            <w:tcBorders>
              <w:top w:val="nil"/>
              <w:left w:val="nil"/>
              <w:bottom w:val="single" w:sz="4" w:space="0" w:color="000000"/>
              <w:right w:val="single" w:sz="4" w:space="0" w:color="000000"/>
            </w:tcBorders>
            <w:shd w:val="clear" w:color="auto" w:fill="auto"/>
            <w:vAlign w:val="center"/>
          </w:tcPr>
          <w:p w14:paraId="32BAB1B6"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Impuesto </w:t>
            </w:r>
          </w:p>
        </w:tc>
      </w:tr>
      <w:tr w:rsidR="0054248A" w:rsidRPr="00943D13" w14:paraId="3108C524"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230302D0"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6.   Impuesto al Carbono</w:t>
            </w:r>
          </w:p>
        </w:tc>
        <w:tc>
          <w:tcPr>
            <w:tcW w:w="2941" w:type="dxa"/>
            <w:tcBorders>
              <w:top w:val="nil"/>
              <w:left w:val="nil"/>
              <w:bottom w:val="single" w:sz="4" w:space="0" w:color="000000"/>
              <w:right w:val="single" w:sz="4" w:space="0" w:color="000000"/>
            </w:tcBorders>
            <w:shd w:val="clear" w:color="auto" w:fill="auto"/>
            <w:vAlign w:val="center"/>
          </w:tcPr>
          <w:p w14:paraId="458F99B6"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Impuesto </w:t>
            </w:r>
          </w:p>
        </w:tc>
      </w:tr>
      <w:tr w:rsidR="0054248A" w:rsidRPr="00943D13" w14:paraId="030AD830" w14:textId="77777777" w:rsidTr="009F5353">
        <w:trPr>
          <w:trHeight w:val="50"/>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387FD0BE"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7.   Tarifa de Marcación</w:t>
            </w:r>
          </w:p>
        </w:tc>
        <w:tc>
          <w:tcPr>
            <w:tcW w:w="2941" w:type="dxa"/>
            <w:tcBorders>
              <w:top w:val="nil"/>
              <w:left w:val="nil"/>
              <w:bottom w:val="single" w:sz="4" w:space="0" w:color="000000"/>
              <w:right w:val="single" w:sz="4" w:space="0" w:color="000000"/>
            </w:tcBorders>
            <w:shd w:val="clear" w:color="auto" w:fill="auto"/>
            <w:vAlign w:val="center"/>
          </w:tcPr>
          <w:p w14:paraId="1A77DA9F"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CREG</w:t>
            </w:r>
          </w:p>
        </w:tc>
      </w:tr>
      <w:tr w:rsidR="0054248A" w:rsidRPr="00943D13" w14:paraId="217EFC8A"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5214556B"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8.   Tarifa de Transporte por poliductos de la GMC</w:t>
            </w:r>
          </w:p>
        </w:tc>
        <w:tc>
          <w:tcPr>
            <w:tcW w:w="2941" w:type="dxa"/>
            <w:tcBorders>
              <w:top w:val="nil"/>
              <w:left w:val="nil"/>
              <w:bottom w:val="single" w:sz="4" w:space="0" w:color="000000"/>
              <w:right w:val="single" w:sz="4" w:space="0" w:color="000000"/>
            </w:tcBorders>
            <w:shd w:val="clear" w:color="auto" w:fill="auto"/>
            <w:vAlign w:val="center"/>
          </w:tcPr>
          <w:p w14:paraId="711DDB9D"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CREG</w:t>
            </w:r>
          </w:p>
        </w:tc>
      </w:tr>
      <w:tr w:rsidR="0054248A" w:rsidRPr="00943D13" w14:paraId="0C0FDD3F"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FAB0031"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9.   Tarifa de Transporte del Alcohol Carburante</w:t>
            </w:r>
          </w:p>
        </w:tc>
        <w:tc>
          <w:tcPr>
            <w:tcW w:w="2941" w:type="dxa"/>
            <w:tcBorders>
              <w:top w:val="nil"/>
              <w:left w:val="nil"/>
              <w:bottom w:val="single" w:sz="4" w:space="0" w:color="000000"/>
              <w:right w:val="single" w:sz="4" w:space="0" w:color="000000"/>
            </w:tcBorders>
            <w:shd w:val="clear" w:color="auto" w:fill="auto"/>
            <w:vAlign w:val="center"/>
          </w:tcPr>
          <w:p w14:paraId="7E332B4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CREG</w:t>
            </w:r>
          </w:p>
        </w:tc>
      </w:tr>
      <w:tr w:rsidR="0054248A" w:rsidRPr="00943D13" w14:paraId="6277B91D"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57A77202"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10.   Precio Máximo de Venta al Distribuidor Mayorista</w:t>
            </w:r>
          </w:p>
        </w:tc>
        <w:tc>
          <w:tcPr>
            <w:tcW w:w="2941" w:type="dxa"/>
            <w:tcBorders>
              <w:top w:val="nil"/>
              <w:left w:val="nil"/>
              <w:bottom w:val="single" w:sz="4" w:space="0" w:color="000000"/>
              <w:right w:val="single" w:sz="4" w:space="0" w:color="000000"/>
            </w:tcBorders>
            <w:shd w:val="clear" w:color="auto" w:fill="auto"/>
            <w:vAlign w:val="center"/>
          </w:tcPr>
          <w:p w14:paraId="4DCD9270"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72A6B44D"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260572FD"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11.   Sobretasa</w:t>
            </w:r>
          </w:p>
        </w:tc>
        <w:tc>
          <w:tcPr>
            <w:tcW w:w="2941" w:type="dxa"/>
            <w:tcBorders>
              <w:top w:val="nil"/>
              <w:left w:val="nil"/>
              <w:bottom w:val="single" w:sz="4" w:space="0" w:color="000000"/>
              <w:right w:val="single" w:sz="4" w:space="0" w:color="000000"/>
            </w:tcBorders>
            <w:shd w:val="clear" w:color="auto" w:fill="auto"/>
            <w:vAlign w:val="center"/>
          </w:tcPr>
          <w:p w14:paraId="3A192B81"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Impuesto </w:t>
            </w:r>
          </w:p>
        </w:tc>
      </w:tr>
      <w:tr w:rsidR="0054248A" w:rsidRPr="00943D13" w14:paraId="01748B41"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005FCFE8"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12.   IVA sobre el margen del distribuidor mayorista</w:t>
            </w:r>
          </w:p>
        </w:tc>
        <w:tc>
          <w:tcPr>
            <w:tcW w:w="2941" w:type="dxa"/>
            <w:tcBorders>
              <w:top w:val="nil"/>
              <w:left w:val="nil"/>
              <w:bottom w:val="single" w:sz="4" w:space="0" w:color="000000"/>
              <w:right w:val="single" w:sz="4" w:space="0" w:color="000000"/>
            </w:tcBorders>
            <w:shd w:val="clear" w:color="auto" w:fill="auto"/>
            <w:vAlign w:val="center"/>
          </w:tcPr>
          <w:p w14:paraId="76B7BA57"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Impuesto </w:t>
            </w:r>
          </w:p>
        </w:tc>
      </w:tr>
      <w:tr w:rsidR="0054248A" w:rsidRPr="00943D13" w14:paraId="72B93860"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6F0EF0D6"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13.   Precio Máximo en Planta de Abastecimiento Mayorista</w:t>
            </w:r>
          </w:p>
        </w:tc>
        <w:tc>
          <w:tcPr>
            <w:tcW w:w="2941" w:type="dxa"/>
            <w:tcBorders>
              <w:top w:val="nil"/>
              <w:left w:val="nil"/>
              <w:bottom w:val="single" w:sz="4" w:space="0" w:color="000000"/>
              <w:right w:val="single" w:sz="4" w:space="0" w:color="000000"/>
            </w:tcBorders>
            <w:shd w:val="clear" w:color="auto" w:fill="auto"/>
            <w:vAlign w:val="center"/>
          </w:tcPr>
          <w:p w14:paraId="2B3A32BD"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7D09FA96"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46B4B229"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lastRenderedPageBreak/>
              <w:t>14.   Margen del distribuidor minorista</w:t>
            </w:r>
          </w:p>
        </w:tc>
        <w:tc>
          <w:tcPr>
            <w:tcW w:w="2941" w:type="dxa"/>
            <w:tcBorders>
              <w:top w:val="nil"/>
              <w:left w:val="nil"/>
              <w:bottom w:val="single" w:sz="4" w:space="0" w:color="000000"/>
              <w:right w:val="single" w:sz="4" w:space="0" w:color="000000"/>
            </w:tcBorders>
            <w:shd w:val="clear" w:color="auto" w:fill="auto"/>
            <w:vAlign w:val="center"/>
          </w:tcPr>
          <w:p w14:paraId="1D23AF5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CREG</w:t>
            </w:r>
          </w:p>
        </w:tc>
      </w:tr>
      <w:tr w:rsidR="0054248A" w:rsidRPr="00943D13" w14:paraId="20219C87"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02DF3ADE"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15.   Pérdida por evaporación</w:t>
            </w:r>
          </w:p>
        </w:tc>
        <w:tc>
          <w:tcPr>
            <w:tcW w:w="2941" w:type="dxa"/>
            <w:tcBorders>
              <w:top w:val="nil"/>
              <w:left w:val="nil"/>
              <w:bottom w:val="single" w:sz="4" w:space="0" w:color="000000"/>
              <w:right w:val="single" w:sz="4" w:space="0" w:color="000000"/>
            </w:tcBorders>
            <w:shd w:val="clear" w:color="auto" w:fill="auto"/>
            <w:vAlign w:val="center"/>
          </w:tcPr>
          <w:p w14:paraId="48E1F931"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 Fijado por Gobierno Nacional</w:t>
            </w:r>
          </w:p>
        </w:tc>
      </w:tr>
      <w:tr w:rsidR="0054248A" w:rsidRPr="00943D13" w14:paraId="4B644DDD"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447EBBB6"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16.  Transporte de la planta de abastecimiento mayorista a estación.</w:t>
            </w:r>
          </w:p>
        </w:tc>
        <w:tc>
          <w:tcPr>
            <w:tcW w:w="2941" w:type="dxa"/>
            <w:tcBorders>
              <w:top w:val="nil"/>
              <w:left w:val="nil"/>
              <w:bottom w:val="single" w:sz="4" w:space="0" w:color="000000"/>
              <w:right w:val="single" w:sz="4" w:space="0" w:color="000000"/>
            </w:tcBorders>
            <w:shd w:val="clear" w:color="auto" w:fill="auto"/>
            <w:vAlign w:val="center"/>
          </w:tcPr>
          <w:p w14:paraId="4CF418B2" w14:textId="77777777" w:rsidR="0054248A" w:rsidRPr="00943D13" w:rsidRDefault="0054248A" w:rsidP="009F5353">
            <w:pPr>
              <w:spacing w:after="0" w:line="200" w:lineRule="auto"/>
              <w:rPr>
                <w:rFonts w:ascii="Work Sans" w:eastAsia="Work Sans" w:hAnsi="Work Sans" w:cs="Work Sans"/>
                <w:b/>
                <w:bCs/>
                <w:u w:val="single"/>
              </w:rPr>
            </w:pPr>
            <w:r w:rsidRPr="00943D13">
              <w:rPr>
                <w:rFonts w:ascii="Work Sans" w:eastAsia="Work Sans" w:hAnsi="Work Sans" w:cs="Work Sans"/>
              </w:rPr>
              <w:t xml:space="preserve"> </w:t>
            </w:r>
            <w:r w:rsidRPr="00943D13">
              <w:rPr>
                <w:rFonts w:ascii="Work Sans" w:eastAsia="Work Sans" w:hAnsi="Work Sans" w:cs="Work Sans"/>
                <w:b/>
                <w:bCs/>
                <w:u w:val="single"/>
              </w:rPr>
              <w:t xml:space="preserve">Fijado por MME o según disposición Alcaldía Municipal </w:t>
            </w:r>
          </w:p>
        </w:tc>
      </w:tr>
      <w:tr w:rsidR="0054248A" w:rsidRPr="00943D13" w14:paraId="546675B0" w14:textId="77777777" w:rsidTr="009F5353">
        <w:trPr>
          <w:trHeight w:val="187"/>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620BF206"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17.  Precio de Referencia de Venta por galón.   $/GAL</w:t>
            </w:r>
          </w:p>
        </w:tc>
        <w:tc>
          <w:tcPr>
            <w:tcW w:w="2941" w:type="dxa"/>
            <w:tcBorders>
              <w:top w:val="nil"/>
              <w:left w:val="nil"/>
              <w:bottom w:val="single" w:sz="4" w:space="0" w:color="000000"/>
              <w:right w:val="single" w:sz="4" w:space="0" w:color="000000"/>
            </w:tcBorders>
            <w:shd w:val="clear" w:color="auto" w:fill="auto"/>
            <w:vAlign w:val="center"/>
          </w:tcPr>
          <w:p w14:paraId="7F50A8BE"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Total </w:t>
            </w:r>
          </w:p>
        </w:tc>
      </w:tr>
      <w:tr w:rsidR="0054248A" w:rsidRPr="00943D13" w14:paraId="3E4F3C66" w14:textId="77777777" w:rsidTr="009F5353">
        <w:trPr>
          <w:trHeight w:val="402"/>
          <w:jc w:val="center"/>
        </w:trPr>
        <w:tc>
          <w:tcPr>
            <w:tcW w:w="6169" w:type="dxa"/>
            <w:tcBorders>
              <w:top w:val="nil"/>
              <w:left w:val="nil"/>
              <w:bottom w:val="nil"/>
              <w:right w:val="nil"/>
            </w:tcBorders>
            <w:shd w:val="clear" w:color="auto" w:fill="auto"/>
            <w:vAlign w:val="center"/>
          </w:tcPr>
          <w:p w14:paraId="79BDB3BB" w14:textId="77777777" w:rsidR="0054248A" w:rsidRPr="00943D13" w:rsidRDefault="0054248A" w:rsidP="009F5353">
            <w:pPr>
              <w:spacing w:after="0" w:line="200" w:lineRule="auto"/>
              <w:jc w:val="right"/>
              <w:rPr>
                <w:rFonts w:ascii="Work Sans" w:eastAsia="Work Sans" w:hAnsi="Work Sans" w:cs="Work Sans"/>
                <w:b/>
                <w:i/>
              </w:rPr>
            </w:pPr>
          </w:p>
        </w:tc>
        <w:tc>
          <w:tcPr>
            <w:tcW w:w="2941" w:type="dxa"/>
            <w:tcBorders>
              <w:top w:val="nil"/>
              <w:left w:val="nil"/>
              <w:bottom w:val="nil"/>
              <w:right w:val="nil"/>
            </w:tcBorders>
            <w:shd w:val="clear" w:color="auto" w:fill="auto"/>
            <w:vAlign w:val="center"/>
          </w:tcPr>
          <w:p w14:paraId="7DA5021E" w14:textId="77777777" w:rsidR="0054248A" w:rsidRPr="00943D13" w:rsidRDefault="0054248A" w:rsidP="009F5353">
            <w:pPr>
              <w:spacing w:after="0" w:line="200" w:lineRule="auto"/>
              <w:rPr>
                <w:rFonts w:ascii="Work Sans" w:eastAsia="Work Sans" w:hAnsi="Work Sans" w:cs="Work Sans"/>
              </w:rPr>
            </w:pPr>
          </w:p>
        </w:tc>
      </w:tr>
      <w:tr w:rsidR="0054248A" w:rsidRPr="00943D13" w14:paraId="3A27DBEC" w14:textId="77777777" w:rsidTr="009F5353">
        <w:trPr>
          <w:trHeight w:val="19"/>
          <w:jc w:val="center"/>
        </w:trPr>
        <w:tc>
          <w:tcPr>
            <w:tcW w:w="6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CCE682" w14:textId="77777777" w:rsidR="0054248A" w:rsidRPr="00943D13" w:rsidRDefault="0054248A" w:rsidP="009F5353">
            <w:pPr>
              <w:spacing w:after="0" w:line="200" w:lineRule="auto"/>
              <w:jc w:val="center"/>
              <w:rPr>
                <w:rFonts w:ascii="Work Sans" w:eastAsia="Work Sans" w:hAnsi="Work Sans" w:cs="Work Sans"/>
                <w:b/>
              </w:rPr>
            </w:pPr>
            <w:r w:rsidRPr="00943D13">
              <w:rPr>
                <w:rFonts w:ascii="Work Sans" w:eastAsia="Work Sans" w:hAnsi="Work Sans" w:cs="Work Sans"/>
                <w:b/>
              </w:rPr>
              <w:t>Estructura precio ACPM con mezcla de biocombustible</w:t>
            </w:r>
          </w:p>
        </w:tc>
        <w:tc>
          <w:tcPr>
            <w:tcW w:w="2941" w:type="dxa"/>
            <w:tcBorders>
              <w:top w:val="single" w:sz="4" w:space="0" w:color="000000"/>
              <w:left w:val="nil"/>
              <w:bottom w:val="single" w:sz="4" w:space="0" w:color="000000"/>
              <w:right w:val="single" w:sz="4" w:space="0" w:color="000000"/>
            </w:tcBorders>
            <w:shd w:val="clear" w:color="auto" w:fill="auto"/>
            <w:vAlign w:val="center"/>
          </w:tcPr>
          <w:p w14:paraId="4FB3A759" w14:textId="77777777" w:rsidR="0054248A" w:rsidRPr="00943D13" w:rsidRDefault="0054248A" w:rsidP="009F5353">
            <w:pPr>
              <w:spacing w:after="0" w:line="200" w:lineRule="auto"/>
              <w:jc w:val="center"/>
              <w:rPr>
                <w:rFonts w:ascii="Work Sans" w:eastAsia="Work Sans" w:hAnsi="Work Sans" w:cs="Work Sans"/>
                <w:b/>
              </w:rPr>
            </w:pPr>
            <w:r w:rsidRPr="00943D13">
              <w:rPr>
                <w:rFonts w:ascii="Work Sans" w:eastAsia="Work Sans" w:hAnsi="Work Sans" w:cs="Work Sans"/>
                <w:b/>
              </w:rPr>
              <w:t xml:space="preserve"> Tipo de Componente </w:t>
            </w:r>
          </w:p>
        </w:tc>
      </w:tr>
      <w:tr w:rsidR="0054248A" w:rsidRPr="00943D13" w14:paraId="5A834EC2"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262CC2D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1.  Proporción </w:t>
            </w:r>
            <w:proofErr w:type="gramStart"/>
            <w:r w:rsidRPr="00943D13">
              <w:rPr>
                <w:rFonts w:ascii="Work Sans" w:eastAsia="Work Sans" w:hAnsi="Work Sans" w:cs="Work Sans"/>
              </w:rPr>
              <w:t>-  Ingreso</w:t>
            </w:r>
            <w:proofErr w:type="gramEnd"/>
            <w:r w:rsidRPr="00943D13">
              <w:rPr>
                <w:rFonts w:ascii="Work Sans" w:eastAsia="Work Sans" w:hAnsi="Work Sans" w:cs="Work Sans"/>
              </w:rPr>
              <w:t xml:space="preserve"> al Productor del ACPM</w:t>
            </w:r>
          </w:p>
        </w:tc>
        <w:tc>
          <w:tcPr>
            <w:tcW w:w="2941" w:type="dxa"/>
            <w:tcBorders>
              <w:top w:val="nil"/>
              <w:left w:val="nil"/>
              <w:bottom w:val="single" w:sz="4" w:space="0" w:color="000000"/>
              <w:right w:val="single" w:sz="4" w:space="0" w:color="000000"/>
            </w:tcBorders>
            <w:shd w:val="clear" w:color="auto" w:fill="auto"/>
            <w:vAlign w:val="center"/>
          </w:tcPr>
          <w:p w14:paraId="1E3B0D8B"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Fijado por MME </w:t>
            </w:r>
          </w:p>
        </w:tc>
      </w:tr>
      <w:tr w:rsidR="0054248A" w:rsidRPr="00943D13" w14:paraId="3D94ADD9"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7A714A5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2.  Proporción </w:t>
            </w:r>
            <w:proofErr w:type="gramStart"/>
            <w:r w:rsidRPr="00943D13">
              <w:rPr>
                <w:rFonts w:ascii="Work Sans" w:eastAsia="Work Sans" w:hAnsi="Work Sans" w:cs="Work Sans"/>
              </w:rPr>
              <w:t>-  Ingreso</w:t>
            </w:r>
            <w:proofErr w:type="gramEnd"/>
            <w:r w:rsidRPr="00943D13">
              <w:rPr>
                <w:rFonts w:ascii="Work Sans" w:eastAsia="Work Sans" w:hAnsi="Work Sans" w:cs="Work Sans"/>
              </w:rPr>
              <w:t xml:space="preserve"> al Productor del Biocombustible</w:t>
            </w:r>
          </w:p>
        </w:tc>
        <w:tc>
          <w:tcPr>
            <w:tcW w:w="2941" w:type="dxa"/>
            <w:tcBorders>
              <w:top w:val="nil"/>
              <w:left w:val="nil"/>
              <w:bottom w:val="single" w:sz="4" w:space="0" w:color="000000"/>
              <w:right w:val="single" w:sz="4" w:space="0" w:color="000000"/>
            </w:tcBorders>
            <w:shd w:val="clear" w:color="auto" w:fill="auto"/>
            <w:vAlign w:val="center"/>
          </w:tcPr>
          <w:p w14:paraId="673D8142"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Fijado por MME </w:t>
            </w:r>
          </w:p>
        </w:tc>
      </w:tr>
      <w:tr w:rsidR="0054248A" w:rsidRPr="00943D13" w14:paraId="4F021D2F"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0BDE34C1"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3.  Ingreso al productor de la mezcla ACPM – biocombustible</w:t>
            </w:r>
          </w:p>
        </w:tc>
        <w:tc>
          <w:tcPr>
            <w:tcW w:w="2941" w:type="dxa"/>
            <w:tcBorders>
              <w:top w:val="nil"/>
              <w:left w:val="nil"/>
              <w:bottom w:val="single" w:sz="4" w:space="0" w:color="000000"/>
              <w:right w:val="single" w:sz="4" w:space="0" w:color="000000"/>
            </w:tcBorders>
            <w:shd w:val="clear" w:color="auto" w:fill="auto"/>
            <w:vAlign w:val="center"/>
          </w:tcPr>
          <w:p w14:paraId="669A7833"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064B9DE4"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F267A0E"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4.  Impuesto Nacional</w:t>
            </w:r>
          </w:p>
        </w:tc>
        <w:tc>
          <w:tcPr>
            <w:tcW w:w="2941" w:type="dxa"/>
            <w:tcBorders>
              <w:top w:val="nil"/>
              <w:left w:val="nil"/>
              <w:bottom w:val="single" w:sz="4" w:space="0" w:color="000000"/>
              <w:right w:val="single" w:sz="4" w:space="0" w:color="000000"/>
            </w:tcBorders>
            <w:shd w:val="clear" w:color="auto" w:fill="auto"/>
            <w:vAlign w:val="center"/>
          </w:tcPr>
          <w:p w14:paraId="222526BB"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Impuesto </w:t>
            </w:r>
          </w:p>
        </w:tc>
      </w:tr>
      <w:tr w:rsidR="0054248A" w:rsidRPr="00943D13" w14:paraId="5C69E57B"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DF4F205"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5.   IVA sobre IP Fósil</w:t>
            </w:r>
          </w:p>
        </w:tc>
        <w:tc>
          <w:tcPr>
            <w:tcW w:w="2941" w:type="dxa"/>
            <w:tcBorders>
              <w:top w:val="nil"/>
              <w:left w:val="nil"/>
              <w:bottom w:val="single" w:sz="4" w:space="0" w:color="000000"/>
              <w:right w:val="single" w:sz="4" w:space="0" w:color="000000"/>
            </w:tcBorders>
            <w:shd w:val="clear" w:color="auto" w:fill="auto"/>
            <w:vAlign w:val="center"/>
          </w:tcPr>
          <w:p w14:paraId="58F57A83"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Impuesto </w:t>
            </w:r>
          </w:p>
        </w:tc>
      </w:tr>
      <w:tr w:rsidR="0054248A" w:rsidRPr="00943D13" w14:paraId="6916BFD6"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65957D1E"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6.   Impuesto al Carbono</w:t>
            </w:r>
          </w:p>
        </w:tc>
        <w:tc>
          <w:tcPr>
            <w:tcW w:w="2941" w:type="dxa"/>
            <w:tcBorders>
              <w:top w:val="nil"/>
              <w:left w:val="nil"/>
              <w:bottom w:val="single" w:sz="4" w:space="0" w:color="000000"/>
              <w:right w:val="single" w:sz="4" w:space="0" w:color="000000"/>
            </w:tcBorders>
            <w:shd w:val="clear" w:color="auto" w:fill="auto"/>
            <w:vAlign w:val="center"/>
          </w:tcPr>
          <w:p w14:paraId="32EDD525"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Impuesto </w:t>
            </w:r>
          </w:p>
        </w:tc>
      </w:tr>
      <w:tr w:rsidR="0054248A" w:rsidRPr="00943D13" w14:paraId="603C6991"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28CA54F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7.  Tarifa de Marcación</w:t>
            </w:r>
          </w:p>
        </w:tc>
        <w:tc>
          <w:tcPr>
            <w:tcW w:w="2941" w:type="dxa"/>
            <w:tcBorders>
              <w:top w:val="nil"/>
              <w:left w:val="nil"/>
              <w:bottom w:val="single" w:sz="4" w:space="0" w:color="000000"/>
              <w:right w:val="single" w:sz="4" w:space="0" w:color="000000"/>
            </w:tcBorders>
            <w:shd w:val="clear" w:color="auto" w:fill="auto"/>
            <w:vAlign w:val="center"/>
          </w:tcPr>
          <w:p w14:paraId="7529D0CE"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Fijado por CREG</w:t>
            </w:r>
          </w:p>
        </w:tc>
      </w:tr>
      <w:tr w:rsidR="0054248A" w:rsidRPr="00943D13" w14:paraId="57232BC6"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08AACDE6"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8.  Tarifa de Transporte por poliductos </w:t>
            </w:r>
          </w:p>
        </w:tc>
        <w:tc>
          <w:tcPr>
            <w:tcW w:w="2941" w:type="dxa"/>
            <w:tcBorders>
              <w:top w:val="nil"/>
              <w:left w:val="nil"/>
              <w:bottom w:val="single" w:sz="4" w:space="0" w:color="000000"/>
              <w:right w:val="single" w:sz="4" w:space="0" w:color="000000"/>
            </w:tcBorders>
            <w:shd w:val="clear" w:color="auto" w:fill="auto"/>
            <w:vAlign w:val="center"/>
          </w:tcPr>
          <w:p w14:paraId="1BA9AB73"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Fijado por CREG</w:t>
            </w:r>
          </w:p>
        </w:tc>
      </w:tr>
      <w:tr w:rsidR="0054248A" w:rsidRPr="00943D13" w14:paraId="4C05BAD6"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7B53325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9.  Tarifa de Transporte del biocombustible</w:t>
            </w:r>
          </w:p>
        </w:tc>
        <w:tc>
          <w:tcPr>
            <w:tcW w:w="2941" w:type="dxa"/>
            <w:tcBorders>
              <w:top w:val="nil"/>
              <w:left w:val="nil"/>
              <w:bottom w:val="single" w:sz="4" w:space="0" w:color="000000"/>
              <w:right w:val="single" w:sz="4" w:space="0" w:color="000000"/>
            </w:tcBorders>
            <w:shd w:val="clear" w:color="auto" w:fill="auto"/>
            <w:vAlign w:val="center"/>
          </w:tcPr>
          <w:p w14:paraId="41BEB3D5"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Fijado por CREG</w:t>
            </w:r>
          </w:p>
        </w:tc>
      </w:tr>
      <w:tr w:rsidR="0054248A" w:rsidRPr="00943D13" w14:paraId="4ED549A7"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2DD7006"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10. Precio Máximo de Venta al Distribuidor Mayorista</w:t>
            </w:r>
          </w:p>
        </w:tc>
        <w:tc>
          <w:tcPr>
            <w:tcW w:w="2941" w:type="dxa"/>
            <w:tcBorders>
              <w:top w:val="nil"/>
              <w:left w:val="nil"/>
              <w:bottom w:val="single" w:sz="4" w:space="0" w:color="000000"/>
              <w:right w:val="single" w:sz="4" w:space="0" w:color="000000"/>
            </w:tcBorders>
            <w:shd w:val="clear" w:color="auto" w:fill="auto"/>
            <w:vAlign w:val="center"/>
          </w:tcPr>
          <w:p w14:paraId="541F4635"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7C9B55E0"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677762CF"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11. IVA sobre el Margen del distribuidor mayorista</w:t>
            </w:r>
          </w:p>
        </w:tc>
        <w:tc>
          <w:tcPr>
            <w:tcW w:w="2941" w:type="dxa"/>
            <w:tcBorders>
              <w:top w:val="nil"/>
              <w:left w:val="nil"/>
              <w:bottom w:val="single" w:sz="4" w:space="0" w:color="000000"/>
              <w:right w:val="single" w:sz="4" w:space="0" w:color="000000"/>
            </w:tcBorders>
            <w:shd w:val="clear" w:color="auto" w:fill="auto"/>
            <w:vAlign w:val="center"/>
          </w:tcPr>
          <w:p w14:paraId="6A16828D"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Impuesto </w:t>
            </w:r>
          </w:p>
        </w:tc>
      </w:tr>
      <w:tr w:rsidR="0054248A" w:rsidRPr="00943D13" w14:paraId="276AFDCD"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6E3A7FD6"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12. Sobretasa</w:t>
            </w:r>
          </w:p>
        </w:tc>
        <w:tc>
          <w:tcPr>
            <w:tcW w:w="2941" w:type="dxa"/>
            <w:tcBorders>
              <w:top w:val="nil"/>
              <w:left w:val="nil"/>
              <w:bottom w:val="single" w:sz="4" w:space="0" w:color="000000"/>
              <w:right w:val="single" w:sz="4" w:space="0" w:color="000000"/>
            </w:tcBorders>
            <w:shd w:val="clear" w:color="auto" w:fill="auto"/>
            <w:vAlign w:val="center"/>
          </w:tcPr>
          <w:p w14:paraId="5547328C"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 xml:space="preserve">Impuesto </w:t>
            </w:r>
          </w:p>
        </w:tc>
      </w:tr>
      <w:tr w:rsidR="0054248A" w:rsidRPr="00943D13" w14:paraId="5C354AA9"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4E976C40"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13. Precio Máximo en Planta de Abastecimiento Mayorista</w:t>
            </w:r>
          </w:p>
        </w:tc>
        <w:tc>
          <w:tcPr>
            <w:tcW w:w="2941" w:type="dxa"/>
            <w:tcBorders>
              <w:top w:val="nil"/>
              <w:left w:val="nil"/>
              <w:bottom w:val="single" w:sz="4" w:space="0" w:color="000000"/>
              <w:right w:val="single" w:sz="4" w:space="0" w:color="000000"/>
            </w:tcBorders>
            <w:shd w:val="clear" w:color="auto" w:fill="auto"/>
            <w:vAlign w:val="center"/>
          </w:tcPr>
          <w:p w14:paraId="2220B7BB"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Subtotal </w:t>
            </w:r>
          </w:p>
        </w:tc>
      </w:tr>
      <w:tr w:rsidR="0054248A" w:rsidRPr="00943D13" w14:paraId="263D55E0"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037E2B69"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14. Margen del distribuidor minorista</w:t>
            </w:r>
          </w:p>
        </w:tc>
        <w:tc>
          <w:tcPr>
            <w:tcW w:w="2941" w:type="dxa"/>
            <w:tcBorders>
              <w:top w:val="nil"/>
              <w:left w:val="nil"/>
              <w:bottom w:val="single" w:sz="4" w:space="0" w:color="000000"/>
              <w:right w:val="single" w:sz="4" w:space="0" w:color="000000"/>
            </w:tcBorders>
            <w:shd w:val="clear" w:color="auto" w:fill="auto"/>
            <w:vAlign w:val="center"/>
          </w:tcPr>
          <w:p w14:paraId="1A5411D8"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Fijado por CREG</w:t>
            </w:r>
          </w:p>
        </w:tc>
      </w:tr>
      <w:tr w:rsidR="0054248A" w:rsidRPr="00943D13" w14:paraId="193A6460"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1A143404" w14:textId="77777777" w:rsidR="0054248A" w:rsidRPr="00943D13" w:rsidRDefault="0054248A" w:rsidP="009F5353">
            <w:pPr>
              <w:spacing w:after="0" w:line="200" w:lineRule="auto"/>
              <w:rPr>
                <w:rFonts w:ascii="Work Sans" w:eastAsia="Work Sans" w:hAnsi="Work Sans" w:cs="Work Sans"/>
              </w:rPr>
            </w:pPr>
            <w:r w:rsidRPr="00943D13">
              <w:rPr>
                <w:rFonts w:ascii="Work Sans" w:eastAsia="Work Sans" w:hAnsi="Work Sans" w:cs="Work Sans"/>
              </w:rPr>
              <w:t>15. Transporte de la planta de abastecimiento mayorista a Estación.</w:t>
            </w:r>
          </w:p>
        </w:tc>
        <w:tc>
          <w:tcPr>
            <w:tcW w:w="2941" w:type="dxa"/>
            <w:tcBorders>
              <w:top w:val="nil"/>
              <w:left w:val="nil"/>
              <w:bottom w:val="single" w:sz="4" w:space="0" w:color="000000"/>
              <w:right w:val="single" w:sz="4" w:space="0" w:color="000000"/>
            </w:tcBorders>
            <w:shd w:val="clear" w:color="auto" w:fill="auto"/>
            <w:vAlign w:val="center"/>
          </w:tcPr>
          <w:p w14:paraId="141C356D" w14:textId="77777777" w:rsidR="0054248A" w:rsidRPr="00943D13" w:rsidRDefault="0054248A" w:rsidP="009F5353">
            <w:pPr>
              <w:spacing w:after="0" w:line="200" w:lineRule="auto"/>
              <w:rPr>
                <w:rFonts w:ascii="Work Sans" w:eastAsia="Work Sans" w:hAnsi="Work Sans" w:cs="Work Sans"/>
                <w:b/>
                <w:bCs/>
                <w:u w:val="single"/>
              </w:rPr>
            </w:pPr>
            <w:r w:rsidRPr="00943D13">
              <w:rPr>
                <w:rFonts w:ascii="Work Sans" w:eastAsia="Work Sans" w:hAnsi="Work Sans" w:cs="Work Sans"/>
                <w:b/>
                <w:bCs/>
                <w:u w:val="single"/>
              </w:rPr>
              <w:t>Fijado por CREG o según disposición Alcaldía Municipal</w:t>
            </w:r>
          </w:p>
        </w:tc>
      </w:tr>
      <w:tr w:rsidR="0054248A" w:rsidRPr="00943D13" w14:paraId="557A7D24" w14:textId="77777777" w:rsidTr="009F5353">
        <w:trPr>
          <w:trHeight w:val="19"/>
          <w:jc w:val="center"/>
        </w:trPr>
        <w:tc>
          <w:tcPr>
            <w:tcW w:w="6169" w:type="dxa"/>
            <w:tcBorders>
              <w:top w:val="nil"/>
              <w:left w:val="single" w:sz="4" w:space="0" w:color="000000"/>
              <w:bottom w:val="single" w:sz="4" w:space="0" w:color="000000"/>
              <w:right w:val="single" w:sz="4" w:space="0" w:color="000000"/>
            </w:tcBorders>
            <w:shd w:val="clear" w:color="auto" w:fill="auto"/>
            <w:vAlign w:val="center"/>
          </w:tcPr>
          <w:p w14:paraId="70297F2E" w14:textId="77777777" w:rsidR="0054248A" w:rsidRPr="00943D13" w:rsidRDefault="0054248A" w:rsidP="009F5353">
            <w:pPr>
              <w:spacing w:after="0" w:line="200" w:lineRule="auto"/>
              <w:rPr>
                <w:rFonts w:ascii="Work Sans" w:eastAsia="Work Sans" w:hAnsi="Work Sans" w:cs="Work Sans"/>
                <w:b/>
                <w:i/>
              </w:rPr>
            </w:pPr>
            <w:r w:rsidRPr="00943D13">
              <w:rPr>
                <w:rFonts w:ascii="Work Sans" w:eastAsia="Work Sans" w:hAnsi="Work Sans" w:cs="Work Sans"/>
                <w:b/>
                <w:i/>
              </w:rPr>
              <w:t>16. Precio de Referencia de Venta por galón. $/GAL</w:t>
            </w:r>
          </w:p>
        </w:tc>
        <w:tc>
          <w:tcPr>
            <w:tcW w:w="2941" w:type="dxa"/>
            <w:tcBorders>
              <w:top w:val="nil"/>
              <w:left w:val="nil"/>
              <w:bottom w:val="single" w:sz="4" w:space="0" w:color="000000"/>
              <w:right w:val="single" w:sz="4" w:space="0" w:color="000000"/>
            </w:tcBorders>
            <w:shd w:val="clear" w:color="auto" w:fill="auto"/>
            <w:vAlign w:val="center"/>
          </w:tcPr>
          <w:p w14:paraId="0300EC6B" w14:textId="77777777" w:rsidR="0054248A" w:rsidRPr="00943D13" w:rsidRDefault="0054248A" w:rsidP="009F5353">
            <w:pPr>
              <w:spacing w:after="0" w:line="200" w:lineRule="auto"/>
              <w:jc w:val="right"/>
              <w:rPr>
                <w:rFonts w:ascii="Work Sans" w:eastAsia="Work Sans" w:hAnsi="Work Sans" w:cs="Work Sans"/>
                <w:b/>
                <w:i/>
              </w:rPr>
            </w:pPr>
            <w:r w:rsidRPr="00943D13">
              <w:rPr>
                <w:rFonts w:ascii="Work Sans" w:eastAsia="Work Sans" w:hAnsi="Work Sans" w:cs="Work Sans"/>
                <w:b/>
                <w:i/>
              </w:rPr>
              <w:t xml:space="preserve"> Total </w:t>
            </w:r>
          </w:p>
        </w:tc>
      </w:tr>
    </w:tbl>
    <w:p w14:paraId="571FB7BA" w14:textId="77777777" w:rsidR="0054248A" w:rsidRPr="00943D13" w:rsidRDefault="0054248A" w:rsidP="0054248A">
      <w:pPr>
        <w:pBdr>
          <w:top w:val="nil"/>
          <w:left w:val="nil"/>
          <w:bottom w:val="nil"/>
          <w:right w:val="nil"/>
          <w:between w:val="nil"/>
        </w:pBdr>
        <w:spacing w:after="0" w:line="240" w:lineRule="auto"/>
        <w:ind w:right="40"/>
        <w:jc w:val="center"/>
        <w:rPr>
          <w:rFonts w:ascii="Work Sans" w:eastAsia="Work Sans" w:hAnsi="Work Sans" w:cs="Work Sans"/>
          <w:b/>
          <w:color w:val="000000"/>
        </w:rPr>
      </w:pPr>
      <w:r w:rsidRPr="00943D13">
        <w:rPr>
          <w:rFonts w:ascii="Work Sans" w:eastAsia="Work Sans" w:hAnsi="Work Sans" w:cs="Work Sans"/>
          <w:b/>
          <w:color w:val="000000"/>
        </w:rPr>
        <w:t>Fuente: Dirección de Hidrocarburos.</w:t>
      </w:r>
    </w:p>
    <w:p w14:paraId="76D84FC1" w14:textId="77777777" w:rsidR="0054248A" w:rsidRPr="00943D13" w:rsidRDefault="0054248A" w:rsidP="0054248A">
      <w:pPr>
        <w:pBdr>
          <w:top w:val="nil"/>
          <w:left w:val="nil"/>
          <w:bottom w:val="nil"/>
          <w:right w:val="nil"/>
          <w:between w:val="nil"/>
        </w:pBdr>
        <w:spacing w:after="0" w:line="240" w:lineRule="auto"/>
        <w:ind w:right="40"/>
        <w:jc w:val="both"/>
        <w:rPr>
          <w:rFonts w:ascii="Work Sans" w:eastAsia="Work Sans" w:hAnsi="Work Sans" w:cs="Work Sans"/>
          <w:color w:val="000000"/>
        </w:rPr>
      </w:pPr>
    </w:p>
    <w:p w14:paraId="6378A29C" w14:textId="77777777" w:rsidR="0054248A" w:rsidRPr="00F74D79" w:rsidRDefault="0054248A" w:rsidP="0054248A">
      <w:pPr>
        <w:pStyle w:val="Prrafodelista"/>
        <w:numPr>
          <w:ilvl w:val="0"/>
          <w:numId w:val="6"/>
        </w:numPr>
        <w:pBdr>
          <w:top w:val="nil"/>
          <w:left w:val="nil"/>
          <w:bottom w:val="nil"/>
          <w:right w:val="nil"/>
          <w:between w:val="nil"/>
        </w:pBdr>
        <w:suppressAutoHyphens w:val="0"/>
        <w:spacing w:after="0" w:line="240" w:lineRule="auto"/>
        <w:ind w:right="48"/>
        <w:jc w:val="both"/>
        <w:rPr>
          <w:rFonts w:ascii="Work Sans" w:eastAsia="Work Sans" w:hAnsi="Work Sans" w:cs="Work Sans"/>
          <w:b/>
          <w:color w:val="000000" w:themeColor="text1"/>
          <w:sz w:val="24"/>
          <w:szCs w:val="24"/>
        </w:rPr>
      </w:pPr>
      <w:r w:rsidRPr="00F74D79">
        <w:rPr>
          <w:rFonts w:ascii="Work Sans" w:eastAsia="Work Sans" w:hAnsi="Work Sans" w:cs="Work Sans"/>
          <w:b/>
          <w:color w:val="000000"/>
          <w:sz w:val="24"/>
          <w:szCs w:val="24"/>
        </w:rPr>
        <w:t>Diferencia</w:t>
      </w:r>
      <w:r>
        <w:rPr>
          <w:rFonts w:ascii="Work Sans" w:eastAsia="Work Sans" w:hAnsi="Work Sans" w:cs="Work Sans"/>
          <w:b/>
          <w:color w:val="000000"/>
          <w:sz w:val="24"/>
          <w:szCs w:val="24"/>
        </w:rPr>
        <w:t xml:space="preserve"> entre libertad </w:t>
      </w:r>
      <w:r w:rsidRPr="008B720F">
        <w:rPr>
          <w:rFonts w:ascii="Work Sans" w:eastAsia="Work Sans" w:hAnsi="Work Sans" w:cs="Work Sans"/>
          <w:b/>
          <w:color w:val="000000"/>
          <w:sz w:val="24"/>
          <w:szCs w:val="24"/>
        </w:rPr>
        <w:t>regulada y vigilada</w:t>
      </w:r>
    </w:p>
    <w:p w14:paraId="2603327C" w14:textId="77777777" w:rsidR="0054248A" w:rsidRPr="00F74D79" w:rsidRDefault="0054248A" w:rsidP="0054248A">
      <w:pPr>
        <w:pStyle w:val="Prrafodelista"/>
        <w:pBdr>
          <w:top w:val="nil"/>
          <w:left w:val="nil"/>
          <w:bottom w:val="nil"/>
          <w:right w:val="nil"/>
          <w:between w:val="nil"/>
        </w:pBdr>
        <w:suppressAutoHyphens w:val="0"/>
        <w:spacing w:after="0" w:line="240" w:lineRule="auto"/>
        <w:ind w:right="48"/>
        <w:jc w:val="both"/>
        <w:rPr>
          <w:rFonts w:ascii="Work Sans" w:eastAsia="Work Sans" w:hAnsi="Work Sans" w:cs="Work Sans"/>
          <w:color w:val="000000" w:themeColor="text1"/>
          <w:sz w:val="24"/>
          <w:szCs w:val="24"/>
        </w:rPr>
      </w:pPr>
    </w:p>
    <w:p w14:paraId="63B48388" w14:textId="77777777" w:rsidR="0054248A" w:rsidRPr="006F5335" w:rsidRDefault="0054248A" w:rsidP="0054248A">
      <w:pPr>
        <w:spacing w:after="0" w:line="240" w:lineRule="auto"/>
        <w:ind w:right="48"/>
        <w:jc w:val="both"/>
        <w:rPr>
          <w:rFonts w:ascii="Work Sans" w:eastAsia="Work Sans" w:hAnsi="Work Sans" w:cs="Work Sans"/>
          <w:color w:val="000000" w:themeColor="text1"/>
          <w:sz w:val="24"/>
          <w:szCs w:val="24"/>
        </w:rPr>
      </w:pPr>
      <w:r>
        <w:rPr>
          <w:rFonts w:ascii="Work Sans" w:eastAsia="Work Sans" w:hAnsi="Work Sans" w:cs="Work Sans"/>
          <w:color w:val="000000" w:themeColor="text1"/>
          <w:sz w:val="24"/>
          <w:szCs w:val="24"/>
        </w:rPr>
        <w:t>Ahora bien,</w:t>
      </w:r>
      <w:r w:rsidRPr="00024052">
        <w:rPr>
          <w:rFonts w:ascii="Work Sans" w:eastAsia="Work Sans" w:hAnsi="Work Sans" w:cs="Work Sans"/>
          <w:color w:val="000000" w:themeColor="text1"/>
          <w:sz w:val="24"/>
          <w:szCs w:val="24"/>
        </w:rPr>
        <w:t xml:space="preserve"> </w:t>
      </w:r>
      <w:r>
        <w:rPr>
          <w:rFonts w:ascii="Work Sans" w:eastAsia="Work Sans" w:hAnsi="Work Sans" w:cs="Work Sans"/>
          <w:color w:val="000000" w:themeColor="text1"/>
          <w:sz w:val="24"/>
          <w:szCs w:val="24"/>
        </w:rPr>
        <w:t>es importante tener en cuenta</w:t>
      </w:r>
      <w:r w:rsidRPr="00024052">
        <w:rPr>
          <w:rFonts w:ascii="Work Sans" w:eastAsia="Work Sans" w:hAnsi="Work Sans" w:cs="Work Sans"/>
          <w:color w:val="000000" w:themeColor="text1"/>
          <w:sz w:val="24"/>
          <w:szCs w:val="24"/>
        </w:rPr>
        <w:t xml:space="preserve"> la diferencia entre </w:t>
      </w:r>
      <w:r>
        <w:rPr>
          <w:rFonts w:ascii="Work Sans" w:eastAsia="Work Sans" w:hAnsi="Work Sans" w:cs="Work Sans"/>
          <w:color w:val="000000" w:themeColor="text1"/>
          <w:sz w:val="24"/>
          <w:szCs w:val="24"/>
        </w:rPr>
        <w:t xml:space="preserve">los </w:t>
      </w:r>
      <w:r w:rsidRPr="00024052">
        <w:rPr>
          <w:rFonts w:ascii="Work Sans" w:eastAsia="Work Sans" w:hAnsi="Work Sans" w:cs="Work Sans"/>
          <w:color w:val="000000" w:themeColor="text1"/>
          <w:sz w:val="24"/>
          <w:szCs w:val="24"/>
        </w:rPr>
        <w:t>r</w:t>
      </w:r>
      <w:r>
        <w:rPr>
          <w:rFonts w:ascii="Work Sans" w:eastAsia="Work Sans" w:hAnsi="Work Sans" w:cs="Work Sans"/>
          <w:color w:val="000000" w:themeColor="text1"/>
          <w:sz w:val="24"/>
          <w:szCs w:val="24"/>
        </w:rPr>
        <w:t>egímenes</w:t>
      </w:r>
      <w:r w:rsidRPr="00024052">
        <w:rPr>
          <w:rFonts w:ascii="Work Sans" w:eastAsia="Work Sans" w:hAnsi="Work Sans" w:cs="Work Sans"/>
          <w:color w:val="000000" w:themeColor="text1"/>
          <w:sz w:val="24"/>
          <w:szCs w:val="24"/>
        </w:rPr>
        <w:t xml:space="preserve"> de libertad regulada y vigilada</w:t>
      </w:r>
      <w:r>
        <w:rPr>
          <w:rFonts w:ascii="Work Sans" w:eastAsia="Work Sans" w:hAnsi="Work Sans" w:cs="Work Sans"/>
          <w:color w:val="000000" w:themeColor="text1"/>
          <w:sz w:val="24"/>
          <w:szCs w:val="24"/>
        </w:rPr>
        <w:t>, los cuales aplican a</w:t>
      </w:r>
      <w:r w:rsidRPr="00024052">
        <w:rPr>
          <w:rFonts w:ascii="Work Sans" w:eastAsia="Work Sans" w:hAnsi="Work Sans" w:cs="Work Sans"/>
          <w:color w:val="000000" w:themeColor="text1"/>
          <w:sz w:val="24"/>
          <w:szCs w:val="24"/>
        </w:rPr>
        <w:t xml:space="preserve"> los valores de los márgenes de distribución minorista en la actividad de distribución de combustibles.</w:t>
      </w:r>
    </w:p>
    <w:p w14:paraId="1F26D2FF" w14:textId="77777777" w:rsidR="0054248A" w:rsidRPr="00F82846" w:rsidRDefault="0054248A" w:rsidP="0054248A">
      <w:pPr>
        <w:spacing w:after="0" w:line="240" w:lineRule="auto"/>
        <w:ind w:right="51"/>
        <w:jc w:val="both"/>
        <w:rPr>
          <w:rFonts w:ascii="Work Sans" w:eastAsia="Work Sans" w:hAnsi="Work Sans" w:cs="Work Sans"/>
          <w:sz w:val="24"/>
          <w:szCs w:val="24"/>
        </w:rPr>
      </w:pPr>
    </w:p>
    <w:p w14:paraId="2F794B44" w14:textId="77777777" w:rsidR="0054248A" w:rsidRPr="00F82846" w:rsidRDefault="0054248A" w:rsidP="0054248A">
      <w:pPr>
        <w:spacing w:after="0" w:line="240" w:lineRule="auto"/>
        <w:ind w:right="51"/>
        <w:jc w:val="both"/>
        <w:rPr>
          <w:rFonts w:ascii="Work Sans" w:eastAsia="Work Sans" w:hAnsi="Work Sans" w:cs="Work Sans"/>
          <w:sz w:val="24"/>
          <w:szCs w:val="24"/>
        </w:rPr>
      </w:pPr>
      <w:r w:rsidRPr="00F82846">
        <w:rPr>
          <w:rFonts w:ascii="Work Sans" w:eastAsia="Work Sans" w:hAnsi="Work Sans" w:cs="Work Sans"/>
          <w:sz w:val="24"/>
          <w:szCs w:val="24"/>
        </w:rPr>
        <w:t xml:space="preserve">El régimen de libertad vigilada es aquel en el que existe un mercado en competencia asociado a la distribución minorista a través de instalaciones correspondientes a estaciones de servicio y hacia el consumidor final. Este régimen aplica en la actualidad para 25 ciudades capitales y municipios en el </w:t>
      </w:r>
      <w:r w:rsidRPr="00F82846">
        <w:rPr>
          <w:rFonts w:ascii="Work Sans" w:eastAsia="Work Sans" w:hAnsi="Work Sans" w:cs="Work Sans"/>
          <w:sz w:val="24"/>
          <w:szCs w:val="24"/>
        </w:rPr>
        <w:lastRenderedPageBreak/>
        <w:t>país y se caracteriza porque los agentes minoristas (estaciones de servicio) pueden definir el precio que más le convenga de acuerdo con la estructura de precios, pero atendiendo las estimaciones comerciales teniendo en cuenta su propio margen de comercialización. Estas 25 ciudades se encuentran numeradas en la Resolución 181254 del 2012.</w:t>
      </w:r>
    </w:p>
    <w:p w14:paraId="5B49463E" w14:textId="77777777" w:rsidR="0054248A" w:rsidRPr="00F82846" w:rsidRDefault="0054248A" w:rsidP="0054248A">
      <w:pPr>
        <w:spacing w:after="0" w:line="240" w:lineRule="auto"/>
        <w:ind w:right="51"/>
        <w:jc w:val="both"/>
        <w:rPr>
          <w:rFonts w:ascii="Work Sans" w:eastAsia="Work Sans" w:hAnsi="Work Sans" w:cs="Work Sans"/>
          <w:sz w:val="24"/>
          <w:szCs w:val="24"/>
        </w:rPr>
      </w:pPr>
    </w:p>
    <w:p w14:paraId="2518B0DC" w14:textId="77777777" w:rsidR="0054248A" w:rsidRPr="00F82846" w:rsidRDefault="0054248A" w:rsidP="0054248A">
      <w:pPr>
        <w:spacing w:after="0" w:line="240" w:lineRule="auto"/>
        <w:ind w:right="51"/>
        <w:jc w:val="both"/>
        <w:rPr>
          <w:rFonts w:ascii="Work Sans" w:eastAsia="Work Sans" w:hAnsi="Work Sans" w:cs="Work Sans"/>
          <w:sz w:val="24"/>
          <w:szCs w:val="24"/>
          <w:u w:val="single"/>
        </w:rPr>
      </w:pPr>
      <w:r w:rsidRPr="00F82846">
        <w:rPr>
          <w:rFonts w:ascii="Work Sans" w:eastAsia="Work Sans" w:hAnsi="Work Sans" w:cs="Work Sans"/>
          <w:sz w:val="24"/>
          <w:szCs w:val="24"/>
        </w:rPr>
        <w:t xml:space="preserve">En relación con el régimen de libertad regulada, </w:t>
      </w:r>
      <w:r w:rsidRPr="00F82846">
        <w:rPr>
          <w:rFonts w:ascii="Work Sans" w:eastAsia="Work Sans" w:hAnsi="Work Sans" w:cs="Work Sans"/>
          <w:b/>
          <w:sz w:val="24"/>
          <w:szCs w:val="24"/>
          <w:u w:val="single"/>
        </w:rPr>
        <w:t>se establece un techo que los distribuidores minoristas no pueden superar en atención a la estructura de precios definida</w:t>
      </w:r>
      <w:r w:rsidRPr="00F82846">
        <w:rPr>
          <w:rFonts w:ascii="Work Sans" w:eastAsia="Work Sans" w:hAnsi="Work Sans" w:cs="Work Sans"/>
          <w:sz w:val="24"/>
          <w:szCs w:val="24"/>
          <w:u w:val="single"/>
        </w:rPr>
        <w:t xml:space="preserve">. </w:t>
      </w:r>
    </w:p>
    <w:p w14:paraId="3F45B6D2" w14:textId="77777777" w:rsidR="0054248A" w:rsidRPr="00F82846" w:rsidRDefault="0054248A" w:rsidP="0054248A">
      <w:pPr>
        <w:spacing w:after="0" w:line="240" w:lineRule="auto"/>
        <w:ind w:right="51"/>
        <w:jc w:val="both"/>
        <w:rPr>
          <w:rFonts w:ascii="Work Sans" w:eastAsia="Work Sans" w:hAnsi="Work Sans" w:cs="Work Sans"/>
          <w:sz w:val="24"/>
          <w:szCs w:val="24"/>
          <w:u w:val="single"/>
        </w:rPr>
      </w:pPr>
    </w:p>
    <w:p w14:paraId="70837A64" w14:textId="77777777" w:rsidR="0054248A" w:rsidRPr="00F82846" w:rsidRDefault="0054248A" w:rsidP="0054248A">
      <w:pPr>
        <w:spacing w:after="0" w:line="240" w:lineRule="auto"/>
        <w:ind w:right="51"/>
        <w:jc w:val="both"/>
        <w:rPr>
          <w:rFonts w:ascii="Work Sans" w:eastAsia="Work Sans" w:hAnsi="Work Sans" w:cs="Work Sans"/>
          <w:sz w:val="24"/>
          <w:szCs w:val="24"/>
        </w:rPr>
      </w:pPr>
      <w:r w:rsidRPr="00F82846">
        <w:rPr>
          <w:rFonts w:ascii="Work Sans" w:eastAsia="Work Sans" w:hAnsi="Work Sans" w:cs="Work Sans"/>
          <w:sz w:val="24"/>
          <w:szCs w:val="24"/>
        </w:rPr>
        <w:t xml:space="preserve">Según lo dispuesto en la Resolución 181254 del 2012, </w:t>
      </w:r>
      <w:r w:rsidRPr="00F82846">
        <w:rPr>
          <w:rFonts w:ascii="Work Sans" w:eastAsia="Work Sans" w:hAnsi="Work Sans" w:cs="Work Sans"/>
          <w:i/>
          <w:sz w:val="24"/>
          <w:szCs w:val="24"/>
        </w:rPr>
        <w:t>“por la cual se adopta para diferentes ciudades capitales, áreas metropolitanas y municipios del país, el régimen de libertad vigilada para la fijación del margen minorista de la gasolina motor corriente oxigenada, la gasolina motor corriente, el ACPM y la mezcla de ACPM con biocombustibles para uso en motores diésel”</w:t>
      </w:r>
      <w:r w:rsidRPr="00F82846">
        <w:rPr>
          <w:rFonts w:ascii="Work Sans" w:eastAsia="Work Sans" w:hAnsi="Work Sans" w:cs="Work Sans"/>
          <w:sz w:val="24"/>
          <w:szCs w:val="24"/>
        </w:rPr>
        <w:t>, se establecen de forma taxativa aquellos municipios, capitales y sus áreas metropolitanas, para los cuales aplica el régimen de libertad vigilada para la fijación del margen del distribuidor minorista de los mencionados combustibles. Por tal motivo, para cualquier otra zona que no corresponda a lo expresamente definido por los artículos 1 y 3 de dicha resolución, así como áreas o rutas que no se encuentren en la jurisdicción de los respectivos municipios, le será aplicado el régimen de libertad regulada para la fijación del margen del distribuidor minorista, en los términos del artículo 2 de tal resolución.</w:t>
      </w:r>
    </w:p>
    <w:p w14:paraId="7EFB41F0" w14:textId="77777777" w:rsidR="0054248A" w:rsidRPr="00F82846" w:rsidRDefault="0054248A" w:rsidP="0054248A">
      <w:pPr>
        <w:spacing w:after="0" w:line="240" w:lineRule="auto"/>
        <w:ind w:right="51"/>
        <w:jc w:val="both"/>
        <w:rPr>
          <w:rFonts w:ascii="Work Sans" w:eastAsia="Work Sans" w:hAnsi="Work Sans" w:cs="Work Sans"/>
          <w:sz w:val="24"/>
          <w:szCs w:val="24"/>
        </w:rPr>
      </w:pPr>
    </w:p>
    <w:p w14:paraId="081D9EE2" w14:textId="77777777" w:rsidR="0054248A" w:rsidRPr="00F82846" w:rsidRDefault="0054248A" w:rsidP="0054248A">
      <w:pPr>
        <w:spacing w:after="0" w:line="240" w:lineRule="auto"/>
        <w:ind w:right="51"/>
        <w:jc w:val="both"/>
        <w:rPr>
          <w:rFonts w:ascii="Work Sans" w:eastAsia="Work Sans" w:hAnsi="Work Sans" w:cs="Work Sans"/>
          <w:color w:val="000000"/>
          <w:sz w:val="24"/>
          <w:szCs w:val="24"/>
        </w:rPr>
      </w:pPr>
      <w:r w:rsidRPr="00F82846">
        <w:rPr>
          <w:rFonts w:ascii="Work Sans" w:eastAsia="Work Sans" w:hAnsi="Work Sans" w:cs="Work Sans"/>
          <w:color w:val="000000"/>
          <w:sz w:val="24"/>
          <w:szCs w:val="24"/>
        </w:rPr>
        <w:t xml:space="preserve">Debe señalarse que los valores del transporte del combustible desde la planta de abastecimiento a la respectiva estación de servicio </w:t>
      </w:r>
      <w:r w:rsidRPr="00F82846">
        <w:rPr>
          <w:rFonts w:ascii="Work Sans" w:eastAsia="Work Sans" w:hAnsi="Work Sans" w:cs="Work Sans"/>
          <w:b/>
          <w:bCs/>
          <w:color w:val="000000"/>
          <w:sz w:val="24"/>
          <w:szCs w:val="24"/>
          <w:u w:val="single"/>
        </w:rPr>
        <w:t>en aquellos municipios que no cuentan con una planta de abastecimiento en su jurisdicción,</w:t>
      </w:r>
      <w:r w:rsidRPr="00F82846">
        <w:rPr>
          <w:rFonts w:ascii="Work Sans" w:eastAsia="Work Sans" w:hAnsi="Work Sans" w:cs="Work Sans"/>
          <w:color w:val="000000"/>
          <w:sz w:val="24"/>
          <w:szCs w:val="24"/>
        </w:rPr>
        <w:t xml:space="preserve"> es un valor que debe ser </w:t>
      </w:r>
      <w:r w:rsidRPr="00F82846">
        <w:rPr>
          <w:rFonts w:ascii="Work Sans" w:eastAsia="Work Sans" w:hAnsi="Work Sans" w:cs="Work Sans"/>
          <w:b/>
          <w:color w:val="000000"/>
          <w:sz w:val="24"/>
          <w:szCs w:val="24"/>
          <w:u w:val="single"/>
        </w:rPr>
        <w:t>establecido por la autoridad Municipal según el artículo 3 de la Resolución 90664 de 2014</w:t>
      </w:r>
      <w:r w:rsidRPr="00F82846">
        <w:rPr>
          <w:rFonts w:ascii="Work Sans" w:eastAsia="Work Sans" w:hAnsi="Work Sans" w:cs="Work Sans"/>
          <w:color w:val="000000"/>
          <w:sz w:val="24"/>
          <w:szCs w:val="24"/>
        </w:rPr>
        <w:t xml:space="preserve"> donde se establece: “</w:t>
      </w:r>
      <w:r w:rsidRPr="00F82846">
        <w:rPr>
          <w:rFonts w:ascii="Work Sans" w:eastAsia="Work Sans" w:hAnsi="Work Sans" w:cs="Work Sans"/>
          <w:i/>
          <w:color w:val="000000"/>
          <w:sz w:val="24"/>
          <w:szCs w:val="24"/>
        </w:rPr>
        <w:t>En el resto de municipios y ciudades, la tarifa de transporte entre la planta de abastecimiento mayorista y las estaciones de servicio será definida por los respectivos alcaldes municipales, quienes deberán comunicarla al Ministerio de Minas y Energía(…)</w:t>
      </w:r>
      <w:r w:rsidRPr="00F82846">
        <w:rPr>
          <w:rFonts w:ascii="Work Sans" w:eastAsia="Work Sans" w:hAnsi="Work Sans" w:cs="Work Sans"/>
          <w:color w:val="000000"/>
          <w:sz w:val="24"/>
          <w:szCs w:val="24"/>
        </w:rPr>
        <w:t>”. Por tanto, dicho componente del precio debe ser certificado por la autoridad municipal correspondiente.</w:t>
      </w:r>
    </w:p>
    <w:p w14:paraId="7364FFF7" w14:textId="77777777" w:rsidR="0054248A" w:rsidRPr="00943D13" w:rsidRDefault="0054248A" w:rsidP="0054248A">
      <w:pPr>
        <w:pBdr>
          <w:top w:val="nil"/>
          <w:left w:val="nil"/>
          <w:bottom w:val="nil"/>
          <w:right w:val="nil"/>
          <w:between w:val="nil"/>
        </w:pBdr>
        <w:spacing w:after="0" w:line="240" w:lineRule="auto"/>
        <w:rPr>
          <w:rFonts w:ascii="Work Sans" w:eastAsia="Work Sans" w:hAnsi="Work Sans" w:cs="Work Sans"/>
          <w:b/>
          <w:color w:val="000000"/>
        </w:rPr>
      </w:pPr>
    </w:p>
    <w:p w14:paraId="04BCABF5" w14:textId="77777777" w:rsidR="0054248A" w:rsidRPr="00F82846" w:rsidRDefault="0054248A" w:rsidP="0054248A">
      <w:pPr>
        <w:spacing w:after="0" w:line="240" w:lineRule="auto"/>
        <w:ind w:right="48"/>
        <w:jc w:val="both"/>
        <w:rPr>
          <w:rFonts w:ascii="Work Sans" w:eastAsia="Times New Roman" w:hAnsi="Work Sans" w:cs="Arial"/>
          <w:sz w:val="24"/>
          <w:szCs w:val="24"/>
          <w:lang w:val="es-ES_tradnl" w:eastAsia="es-ES"/>
        </w:rPr>
      </w:pPr>
      <w:r w:rsidRPr="00F82846">
        <w:rPr>
          <w:rFonts w:ascii="Work Sans" w:eastAsia="Times New Roman" w:hAnsi="Work Sans" w:cs="Arial"/>
          <w:sz w:val="24"/>
          <w:szCs w:val="24"/>
          <w:lang w:val="es-ES_tradnl" w:eastAsia="es-ES"/>
        </w:rPr>
        <w:t xml:space="preserve">Por último, damos claridad que en virtud del Decreto 4130 de 2011, por el cual el Ministerio de Minas y Energía reasignó algunas funciones específicas en materia de Hidrocarburos, desde el mes de mayo de 2012 la Superintendencia </w:t>
      </w:r>
      <w:r w:rsidRPr="00F82846">
        <w:rPr>
          <w:rFonts w:ascii="Work Sans" w:eastAsia="Times New Roman" w:hAnsi="Work Sans" w:cs="Arial"/>
          <w:sz w:val="24"/>
          <w:szCs w:val="24"/>
          <w:lang w:val="es-ES_tradnl" w:eastAsia="es-ES"/>
        </w:rPr>
        <w:lastRenderedPageBreak/>
        <w:t xml:space="preserve">de Industria y Comercio a través de la Delegatura para el control y verificación de Reglamentos Técnicos y Metrología Legal, </w:t>
      </w:r>
      <w:r w:rsidRPr="00F82846">
        <w:rPr>
          <w:rFonts w:ascii="Work Sans" w:eastAsia="Times New Roman" w:hAnsi="Work Sans" w:cs="Arial"/>
          <w:b/>
          <w:bCs/>
          <w:sz w:val="24"/>
          <w:szCs w:val="24"/>
          <w:u w:val="single"/>
          <w:lang w:val="es-ES_tradnl" w:eastAsia="es-ES"/>
        </w:rPr>
        <w:t>ejerce las funciones de vigilancia y control en la distribución de combustibles líquidos en el país, y por lo tanto del precio regulado de los mismos</w:t>
      </w:r>
      <w:r w:rsidRPr="00F82846">
        <w:rPr>
          <w:rFonts w:ascii="Work Sans" w:eastAsia="Times New Roman" w:hAnsi="Work Sans" w:cs="Arial"/>
          <w:sz w:val="24"/>
          <w:szCs w:val="24"/>
          <w:lang w:val="es-ES_tradnl" w:eastAsia="es-ES"/>
        </w:rPr>
        <w:t xml:space="preserve">. </w:t>
      </w:r>
    </w:p>
    <w:p w14:paraId="551D87FB" w14:textId="77777777" w:rsidR="0054248A" w:rsidRPr="00F82846" w:rsidRDefault="0054248A" w:rsidP="0054248A">
      <w:pPr>
        <w:spacing w:after="0" w:line="240" w:lineRule="auto"/>
        <w:ind w:right="48"/>
        <w:jc w:val="both"/>
        <w:rPr>
          <w:rFonts w:ascii="Work Sans" w:eastAsia="Times New Roman" w:hAnsi="Work Sans" w:cs="Arial"/>
          <w:sz w:val="24"/>
          <w:szCs w:val="24"/>
          <w:lang w:val="es-ES_tradnl" w:eastAsia="es-ES"/>
        </w:rPr>
      </w:pPr>
    </w:p>
    <w:p w14:paraId="68F687F1" w14:textId="77777777" w:rsidR="0054248A" w:rsidRDefault="0054248A" w:rsidP="0054248A">
      <w:pPr>
        <w:spacing w:after="0" w:line="240" w:lineRule="auto"/>
        <w:ind w:right="48"/>
        <w:jc w:val="both"/>
        <w:rPr>
          <w:rFonts w:ascii="Work Sans" w:eastAsia="Times New Roman" w:hAnsi="Work Sans" w:cs="Arial"/>
          <w:sz w:val="24"/>
          <w:szCs w:val="24"/>
          <w:lang w:val="es-ES_tradnl" w:eastAsia="es-ES"/>
        </w:rPr>
      </w:pPr>
      <w:r w:rsidRPr="00F82846">
        <w:rPr>
          <w:rFonts w:ascii="Work Sans" w:eastAsia="Times New Roman" w:hAnsi="Work Sans" w:cs="Arial"/>
          <w:sz w:val="24"/>
          <w:szCs w:val="24"/>
          <w:lang w:val="es-ES_tradnl" w:eastAsia="es-ES"/>
        </w:rPr>
        <w:t xml:space="preserve">Adicionalmente, adjuntamos el enlace de la Superintendencia de Industria y Comercio en el cual podrá presentar directamente sus denuncias en materia de protección al consumidor y el correcto funcionamiento de los mercados en Colombia:  </w:t>
      </w:r>
    </w:p>
    <w:p w14:paraId="33521CCC" w14:textId="77777777" w:rsidR="0054248A" w:rsidRDefault="0054248A" w:rsidP="0054248A">
      <w:pPr>
        <w:spacing w:after="0" w:line="240" w:lineRule="auto"/>
        <w:ind w:right="48"/>
        <w:rPr>
          <w:rFonts w:ascii="Work Sans" w:eastAsia="Times New Roman" w:hAnsi="Work Sans" w:cs="Arial"/>
          <w:sz w:val="24"/>
          <w:szCs w:val="24"/>
          <w:lang w:val="es-ES_tradnl" w:eastAsia="es-ES"/>
        </w:rPr>
      </w:pPr>
    </w:p>
    <w:p w14:paraId="6593BEF2" w14:textId="78C17ECB" w:rsidR="0054248A" w:rsidRPr="00F82846" w:rsidRDefault="0054248A" w:rsidP="0054248A">
      <w:pPr>
        <w:spacing w:after="0" w:line="240" w:lineRule="auto"/>
        <w:ind w:right="48"/>
        <w:rPr>
          <w:rFonts w:ascii="Work Sans" w:eastAsia="Times New Roman" w:hAnsi="Work Sans" w:cs="Arial"/>
          <w:sz w:val="24"/>
          <w:szCs w:val="24"/>
          <w:lang w:val="es-ES_tradnl" w:eastAsia="es-ES"/>
        </w:rPr>
      </w:pPr>
      <w:hyperlink r:id="rId7" w:history="1">
        <w:r w:rsidRPr="002A23DC">
          <w:rPr>
            <w:rStyle w:val="Hipervnculo"/>
            <w:rFonts w:ascii="Work Sans" w:eastAsia="Times New Roman" w:hAnsi="Work Sans" w:cs="Arial"/>
            <w:lang w:val="es-ES_tradnl" w:eastAsia="es-ES"/>
          </w:rPr>
          <w:t>https://servicioslinea.sic.gov.co/servilinea/ServiLinea/DemandasProteccion/</w:t>
        </w:r>
      </w:hyperlink>
    </w:p>
    <w:p w14:paraId="701135BC" w14:textId="77777777" w:rsidR="0054248A" w:rsidRDefault="0054248A" w:rsidP="0054248A">
      <w:pPr>
        <w:spacing w:after="0" w:line="240" w:lineRule="auto"/>
        <w:ind w:right="51"/>
        <w:contextualSpacing/>
        <w:jc w:val="both"/>
        <w:rPr>
          <w:rFonts w:ascii="Work Sans" w:hAnsi="Work Sans" w:cs="Arial"/>
          <w:sz w:val="24"/>
          <w:szCs w:val="24"/>
        </w:rPr>
      </w:pPr>
    </w:p>
    <w:p w14:paraId="5F4755BF" w14:textId="77777777" w:rsidR="0054248A" w:rsidRDefault="0054248A" w:rsidP="0054248A">
      <w:pPr>
        <w:spacing w:after="0" w:line="240" w:lineRule="auto"/>
        <w:ind w:right="48"/>
        <w:jc w:val="both"/>
        <w:rPr>
          <w:rFonts w:ascii="Work Sans" w:eastAsia="Times New Roman" w:hAnsi="Work Sans" w:cs="Arial"/>
          <w:sz w:val="24"/>
          <w:szCs w:val="24"/>
          <w:lang w:val="es-ES_tradnl" w:eastAsia="es-ES"/>
        </w:rPr>
      </w:pPr>
      <w:r w:rsidRPr="006F5335">
        <w:rPr>
          <w:rFonts w:ascii="Work Sans" w:eastAsia="Times New Roman" w:hAnsi="Work Sans" w:cs="Arial"/>
          <w:sz w:val="24"/>
          <w:szCs w:val="24"/>
          <w:lang w:val="es-ES_tradnl" w:eastAsia="es-ES"/>
        </w:rPr>
        <w:t>Con el fin de que las autoridades competentes puedan iniciar con el proceso de investigación pertinente, es importante que sean anexadas las evidencias correspondientes a la denuncia presentada en materia de precios de los combustibles</w:t>
      </w:r>
      <w:r>
        <w:rPr>
          <w:rFonts w:ascii="Work Sans" w:eastAsia="Times New Roman" w:hAnsi="Work Sans" w:cs="Arial"/>
          <w:sz w:val="24"/>
          <w:szCs w:val="24"/>
          <w:lang w:val="es-ES_tradnl" w:eastAsia="es-ES"/>
        </w:rPr>
        <w:t>.</w:t>
      </w:r>
    </w:p>
    <w:p w14:paraId="08C6C4F1" w14:textId="77777777" w:rsidR="00C45569" w:rsidRDefault="00C45569" w:rsidP="00C45569">
      <w:pPr>
        <w:pStyle w:val="Textoindependiente"/>
        <w:ind w:right="190"/>
      </w:pPr>
    </w:p>
    <w:p w14:paraId="448937BA" w14:textId="77777777" w:rsidR="0054248A" w:rsidRPr="0054248A" w:rsidRDefault="0054248A" w:rsidP="00C45569">
      <w:pPr>
        <w:pStyle w:val="Textoindependiente"/>
        <w:ind w:right="190"/>
      </w:pPr>
    </w:p>
    <w:p w14:paraId="4C7DF85D" w14:textId="77777777" w:rsidR="00C45569" w:rsidRPr="00BC5C5B" w:rsidRDefault="00C45569" w:rsidP="00C45569">
      <w:pPr>
        <w:pStyle w:val="Textoindependiente"/>
        <w:ind w:right="190"/>
        <w:rPr>
          <w:rFonts w:ascii="Work Sans" w:hAnsi="Work Sans"/>
          <w:szCs w:val="24"/>
        </w:rPr>
      </w:pPr>
      <w:r w:rsidRPr="00BC5C5B">
        <w:rPr>
          <w:rFonts w:ascii="Work Sans" w:hAnsi="Work Sans"/>
          <w:szCs w:val="24"/>
        </w:rPr>
        <w:t xml:space="preserve">Cordialmente, </w:t>
      </w:r>
    </w:p>
    <w:p w14:paraId="17ADF093" w14:textId="77777777" w:rsidR="00C45569" w:rsidRDefault="00C45569" w:rsidP="00C45569">
      <w:pPr>
        <w:spacing w:line="240" w:lineRule="auto"/>
        <w:ind w:right="51"/>
        <w:contextualSpacing/>
        <w:jc w:val="both"/>
        <w:rPr>
          <w:rFonts w:ascii="Work Sans" w:hAnsi="Work Sans" w:cs="Arial"/>
          <w:sz w:val="24"/>
          <w:highlight w:val="yellow"/>
        </w:rPr>
      </w:pPr>
    </w:p>
    <w:tbl>
      <w:tblPr>
        <w:tblW w:w="8790" w:type="dxa"/>
        <w:tblInd w:w="39" w:type="dxa"/>
        <w:tblLayout w:type="fixed"/>
        <w:tblCellMar>
          <w:top w:w="55" w:type="dxa"/>
          <w:left w:w="55" w:type="dxa"/>
          <w:bottom w:w="55" w:type="dxa"/>
          <w:right w:w="55" w:type="dxa"/>
        </w:tblCellMar>
        <w:tblLook w:val="04A0" w:firstRow="1" w:lastRow="0" w:firstColumn="1" w:lastColumn="0" w:noHBand="0" w:noVBand="1"/>
      </w:tblPr>
      <w:tblGrid>
        <w:gridCol w:w="4380"/>
        <w:gridCol w:w="4410"/>
      </w:tblGrid>
      <w:tr w:rsidR="00C45569" w14:paraId="332EC89F" w14:textId="77777777" w:rsidTr="007F010A">
        <w:tc>
          <w:tcPr>
            <w:tcW w:w="8789" w:type="dxa"/>
            <w:gridSpan w:val="2"/>
            <w:shd w:val="clear" w:color="auto" w:fill="auto"/>
          </w:tcPr>
          <w:p w14:paraId="06F2FF0A" w14:textId="77777777" w:rsidR="00C45569" w:rsidRDefault="00C45569" w:rsidP="007F010A">
            <w:pPr>
              <w:widowControl w:val="0"/>
              <w:spacing w:after="0"/>
              <w:rPr>
                <w:rFonts w:ascii="Work Sans" w:hAnsi="Work Sans"/>
                <w:sz w:val="24"/>
                <w:szCs w:val="24"/>
              </w:rPr>
            </w:pPr>
            <w:proofErr w:type="spellStart"/>
            <w:r>
              <w:rPr>
                <w:rFonts w:ascii="Arial" w:eastAsia="Calibri" w:hAnsi="Arial" w:cs="Arial"/>
              </w:rPr>
              <w:t>Tabla_Firmantes</w:t>
            </w:r>
            <w:proofErr w:type="spellEnd"/>
          </w:p>
        </w:tc>
      </w:tr>
      <w:tr w:rsidR="00C45569" w14:paraId="64C8E5A6" w14:textId="77777777" w:rsidTr="007F010A">
        <w:tc>
          <w:tcPr>
            <w:tcW w:w="4380" w:type="dxa"/>
            <w:shd w:val="clear" w:color="auto" w:fill="auto"/>
          </w:tcPr>
          <w:p w14:paraId="24D35920" w14:textId="77777777" w:rsidR="00C45569" w:rsidRDefault="00C45569" w:rsidP="007F010A">
            <w:pPr>
              <w:widowControl w:val="0"/>
              <w:spacing w:after="0"/>
              <w:rPr>
                <w:rFonts w:ascii="Work Sans ExtraLight" w:hAnsi="Work Sans ExtraLight"/>
              </w:rPr>
            </w:pPr>
          </w:p>
        </w:tc>
        <w:tc>
          <w:tcPr>
            <w:tcW w:w="4409" w:type="dxa"/>
            <w:shd w:val="clear" w:color="auto" w:fill="auto"/>
          </w:tcPr>
          <w:p w14:paraId="5B0EE08A" w14:textId="77777777" w:rsidR="00C45569" w:rsidRDefault="00C45569" w:rsidP="007F010A">
            <w:pPr>
              <w:widowControl w:val="0"/>
              <w:spacing w:after="0"/>
              <w:rPr>
                <w:rFonts w:ascii="Work Sans ExtraLight" w:hAnsi="Work Sans ExtraLight"/>
              </w:rPr>
            </w:pPr>
          </w:p>
        </w:tc>
      </w:tr>
      <w:tr w:rsidR="00C45569" w14:paraId="3B51952E" w14:textId="77777777" w:rsidTr="007F010A">
        <w:tc>
          <w:tcPr>
            <w:tcW w:w="4380" w:type="dxa"/>
            <w:shd w:val="clear" w:color="auto" w:fill="auto"/>
          </w:tcPr>
          <w:p w14:paraId="0A1EF124" w14:textId="77777777" w:rsidR="00C45569" w:rsidRDefault="00C45569" w:rsidP="007F010A">
            <w:pPr>
              <w:widowControl w:val="0"/>
              <w:spacing w:after="0"/>
              <w:rPr>
                <w:rFonts w:ascii="Work Sans ExtraLight" w:hAnsi="Work Sans ExtraLight"/>
              </w:rPr>
            </w:pPr>
          </w:p>
        </w:tc>
        <w:tc>
          <w:tcPr>
            <w:tcW w:w="4409" w:type="dxa"/>
            <w:shd w:val="clear" w:color="auto" w:fill="auto"/>
          </w:tcPr>
          <w:p w14:paraId="6015B1C4" w14:textId="77777777" w:rsidR="00C45569" w:rsidRDefault="00C45569" w:rsidP="007F010A">
            <w:pPr>
              <w:widowControl w:val="0"/>
              <w:spacing w:after="0"/>
              <w:rPr>
                <w:rFonts w:ascii="Work Sans ExtraLight" w:hAnsi="Work Sans ExtraLight"/>
              </w:rPr>
            </w:pPr>
          </w:p>
        </w:tc>
      </w:tr>
    </w:tbl>
    <w:p w14:paraId="43D4CB8B" w14:textId="77777777" w:rsidR="00C45569" w:rsidRDefault="00C45569" w:rsidP="00C45569">
      <w:pPr>
        <w:spacing w:after="0"/>
        <w:rPr>
          <w:rFonts w:ascii="Work Sans" w:hAnsi="Work Sans"/>
          <w:sz w:val="16"/>
          <w:szCs w:val="16"/>
        </w:rPr>
      </w:pPr>
      <w:proofErr w:type="spellStart"/>
      <w:r>
        <w:rPr>
          <w:rFonts w:ascii="Work Sans" w:hAnsi="Work Sans"/>
          <w:sz w:val="16"/>
          <w:szCs w:val="16"/>
        </w:rPr>
        <w:t>ley_texto</w:t>
      </w:r>
      <w:proofErr w:type="spellEnd"/>
    </w:p>
    <w:p w14:paraId="5591786C" w14:textId="77777777" w:rsidR="00C45569" w:rsidRDefault="00C45569" w:rsidP="00C45569">
      <w:pPr>
        <w:spacing w:after="0"/>
        <w:rPr>
          <w:rFonts w:ascii="Work Sans" w:hAnsi="Work Sans"/>
          <w:sz w:val="16"/>
          <w:szCs w:val="16"/>
        </w:rPr>
      </w:pPr>
      <w:proofErr w:type="spellStart"/>
      <w:r>
        <w:rPr>
          <w:rFonts w:ascii="Work Sans" w:hAnsi="Work Sans"/>
          <w:sz w:val="16"/>
          <w:szCs w:val="16"/>
        </w:rPr>
        <w:t>copias_r</w:t>
      </w:r>
      <w:proofErr w:type="spellEnd"/>
      <w:r>
        <w:rPr>
          <w:rFonts w:ascii="Work Sans" w:hAnsi="Work Sans"/>
          <w:sz w:val="16"/>
          <w:szCs w:val="16"/>
        </w:rPr>
        <w:t xml:space="preserve"> </w:t>
      </w:r>
    </w:p>
    <w:p w14:paraId="48C5BAC6" w14:textId="77777777" w:rsidR="00C45569" w:rsidRDefault="00C45569" w:rsidP="00C4556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rad_padre</w:t>
      </w:r>
      <w:proofErr w:type="spellEnd"/>
    </w:p>
    <w:p w14:paraId="649B1B37" w14:textId="77777777" w:rsidR="00C45569" w:rsidRDefault="00C45569" w:rsidP="00C45569">
      <w:pPr>
        <w:spacing w:after="0"/>
        <w:rPr>
          <w:rFonts w:ascii="Work Sans" w:hAnsi="Work Sans"/>
          <w:sz w:val="16"/>
          <w:szCs w:val="16"/>
        </w:rPr>
      </w:pPr>
      <w:proofErr w:type="spellStart"/>
      <w:r>
        <w:rPr>
          <w:rFonts w:ascii="Work Sans" w:eastAsia="Times New Roman" w:hAnsi="Work Sans" w:cs="Times New Roman"/>
          <w:spacing w:val="-3"/>
          <w:sz w:val="16"/>
          <w:szCs w:val="16"/>
          <w:lang w:val="es-ES_tradnl" w:eastAsia="es-ES"/>
        </w:rPr>
        <w:t>anexo_r</w:t>
      </w:r>
      <w:proofErr w:type="spellEnd"/>
    </w:p>
    <w:p w14:paraId="2D6FEC4A" w14:textId="77777777" w:rsidR="00C45569" w:rsidRDefault="00C45569" w:rsidP="00C45569">
      <w:pPr>
        <w:spacing w:after="0"/>
      </w:pPr>
      <w:r>
        <w:rPr>
          <w:rFonts w:ascii="Work Sans" w:hAnsi="Work Sans"/>
          <w:sz w:val="16"/>
          <w:szCs w:val="16"/>
        </w:rPr>
        <w:t xml:space="preserve">Elaboró: </w:t>
      </w:r>
      <w:proofErr w:type="spellStart"/>
      <w:r>
        <w:rPr>
          <w:rFonts w:ascii="Work Sans" w:hAnsi="Work Sans"/>
          <w:sz w:val="16"/>
          <w:szCs w:val="16"/>
        </w:rPr>
        <w:t>res_proyecto</w:t>
      </w:r>
      <w:proofErr w:type="spellEnd"/>
      <w:r>
        <w:rPr>
          <w:rFonts w:ascii="Work Sans" w:hAnsi="Work Sans"/>
          <w:sz w:val="16"/>
          <w:szCs w:val="16"/>
          <w:lang w:val="es-ES"/>
        </w:rPr>
        <w:br/>
      </w:r>
      <w:r>
        <w:rPr>
          <w:rFonts w:ascii="Work Sans" w:hAnsi="Work Sans"/>
          <w:sz w:val="16"/>
          <w:szCs w:val="16"/>
        </w:rPr>
        <w:t xml:space="preserve">Revisó: </w:t>
      </w:r>
      <w:proofErr w:type="spellStart"/>
      <w:r>
        <w:rPr>
          <w:rFonts w:ascii="Work Sans" w:hAnsi="Work Sans"/>
          <w:sz w:val="16"/>
          <w:szCs w:val="16"/>
        </w:rPr>
        <w:t>res_reviso</w:t>
      </w:r>
      <w:proofErr w:type="spellEnd"/>
      <w:r>
        <w:rPr>
          <w:rFonts w:ascii="Work Sans" w:hAnsi="Work Sans"/>
          <w:sz w:val="16"/>
          <w:szCs w:val="16"/>
        </w:rPr>
        <w:br/>
        <w:t xml:space="preserve">Aprobó: </w:t>
      </w:r>
      <w:proofErr w:type="spellStart"/>
      <w:r>
        <w:rPr>
          <w:rFonts w:ascii="Work Sans" w:hAnsi="Work Sans"/>
          <w:sz w:val="16"/>
          <w:szCs w:val="16"/>
        </w:rPr>
        <w:t>res_aprobacion</w:t>
      </w:r>
      <w:proofErr w:type="spellEnd"/>
    </w:p>
    <w:p w14:paraId="39C8AE85" w14:textId="77777777" w:rsidR="00C45569" w:rsidRDefault="00C45569" w:rsidP="00C45569">
      <w:pPr>
        <w:spacing w:after="0" w:line="240" w:lineRule="auto"/>
        <w:ind w:right="51"/>
        <w:jc w:val="both"/>
      </w:pPr>
    </w:p>
    <w:p w14:paraId="7CBF7FF4" w14:textId="0BA7AFB3" w:rsidR="00DE1913" w:rsidRPr="00C45569" w:rsidRDefault="00DE1913" w:rsidP="00C45569"/>
    <w:sectPr w:rsidR="00DE1913" w:rsidRPr="00C45569">
      <w:headerReference w:type="default" r:id="rId8"/>
      <w:footerReference w:type="default" r:id="rId9"/>
      <w:pgSz w:w="12240" w:h="15840"/>
      <w:pgMar w:top="1991" w:right="1418" w:bottom="1588" w:left="1418" w:header="573" w:footer="1531" w:gutter="0"/>
      <w:cols w:space="720"/>
      <w:formProt w:val="0"/>
      <w:docGrid w:linePitch="36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78BDB" w14:textId="77777777" w:rsidR="00450D16" w:rsidRDefault="00450D16">
      <w:pPr>
        <w:spacing w:after="0" w:line="240" w:lineRule="auto"/>
      </w:pPr>
      <w:r>
        <w:separator/>
      </w:r>
    </w:p>
  </w:endnote>
  <w:endnote w:type="continuationSeparator" w:id="0">
    <w:p w14:paraId="232B282C" w14:textId="77777777" w:rsidR="00450D16" w:rsidRDefault="00450D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sig w:usb0="E0000AFF" w:usb1="500078FF" w:usb2="00000021" w:usb3="00000000" w:csb0="000001BF" w:csb1="00000000"/>
  </w:font>
  <w:font w:name="Bitstream Vera Sans">
    <w:panose1 w:val="00000000000000000000"/>
    <w:charset w:val="00"/>
    <w:family w:val="roman"/>
    <w:notTrueType/>
    <w:pitch w:val="default"/>
  </w:font>
  <w:font w:name="FreeSans">
    <w:altName w:val="Cambria"/>
    <w:panose1 w:val="00000000000000000000"/>
    <w:charset w:val="00"/>
    <w:family w:val="roman"/>
    <w:notTrueType/>
    <w:pitch w:val="default"/>
  </w:font>
  <w:font w:name="Work Sans">
    <w:charset w:val="00"/>
    <w:family w:val="auto"/>
    <w:pitch w:val="variable"/>
    <w:sig w:usb0="A00000FF" w:usb1="5000E07B" w:usb2="00000000" w:usb3="00000000" w:csb0="00000193" w:csb1="00000000"/>
  </w:font>
  <w:font w:name="Work Sans ExtraLight">
    <w:charset w:val="00"/>
    <w:family w:val="auto"/>
    <w:pitch w:val="variable"/>
    <w:sig w:usb0="A00000FF" w:usb1="5000E07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Free 3 of 9">
    <w:altName w:val="Calibri"/>
    <w:charset w:val="00"/>
    <w:family w:val="moder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25EFB" w14:textId="749C1687" w:rsidR="00DE1913" w:rsidRDefault="002478C2">
    <w:pPr>
      <w:pStyle w:val="Piedepgina"/>
    </w:pPr>
    <w:r>
      <w:rPr>
        <w:noProof/>
      </w:rPr>
      <w:drawing>
        <wp:anchor distT="0" distB="0" distL="114300" distR="114300" simplePos="0" relativeHeight="251663360" behindDoc="0" locked="0" layoutInCell="1" allowOverlap="1" wp14:anchorId="23191DF9" wp14:editId="78B716FB">
          <wp:simplePos x="0" y="0"/>
          <wp:positionH relativeFrom="margin">
            <wp:align>left</wp:align>
          </wp:positionH>
          <wp:positionV relativeFrom="paragraph">
            <wp:posOffset>95250</wp:posOffset>
          </wp:positionV>
          <wp:extent cx="5143500" cy="800100"/>
          <wp:effectExtent l="0" t="0" r="0" b="0"/>
          <wp:wrapSquare wrapText="bothSides"/>
          <wp:docPr id="206720865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208657" name=""/>
                  <pic:cNvPicPr/>
                </pic:nvPicPr>
                <pic:blipFill>
                  <a:blip r:embed="rId1">
                    <a:extLst>
                      <a:ext uri="{28A0092B-C50C-407E-A947-70E740481C1C}">
                        <a14:useLocalDpi xmlns:a14="http://schemas.microsoft.com/office/drawing/2010/main" val="0"/>
                      </a:ext>
                    </a:extLst>
                  </a:blip>
                  <a:stretch>
                    <a:fillRect/>
                  </a:stretch>
                </pic:blipFill>
                <pic:spPr>
                  <a:xfrm>
                    <a:off x="0" y="0"/>
                    <a:ext cx="5143500" cy="8001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79CDDC" w14:textId="77777777" w:rsidR="00450D16" w:rsidRDefault="00450D16">
      <w:pPr>
        <w:spacing w:after="0" w:line="240" w:lineRule="auto"/>
      </w:pPr>
      <w:r>
        <w:separator/>
      </w:r>
    </w:p>
  </w:footnote>
  <w:footnote w:type="continuationSeparator" w:id="0">
    <w:p w14:paraId="58D580BE" w14:textId="77777777" w:rsidR="00450D16" w:rsidRDefault="00450D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0614062"/>
      <w:docPartObj>
        <w:docPartGallery w:val="Page Numbers (Top of Page)"/>
        <w:docPartUnique/>
      </w:docPartObj>
    </w:sdtPr>
    <w:sdtContent>
      <w:p w14:paraId="0251DE41" w14:textId="7BD393A3" w:rsidR="00FD392C" w:rsidRDefault="00FD392C" w:rsidP="005225C6">
        <w:pPr>
          <w:pStyle w:val="Encabezado"/>
          <w:jc w:val="right"/>
        </w:pPr>
        <w:r w:rsidRPr="005617AA">
          <w:rPr>
            <w:noProof/>
          </w:rPr>
          <w:drawing>
            <wp:anchor distT="0" distB="0" distL="114300" distR="114300" simplePos="0" relativeHeight="251662336" behindDoc="0" locked="0" layoutInCell="1" allowOverlap="1" wp14:anchorId="20BB868C" wp14:editId="692F4A8E">
              <wp:simplePos x="0" y="0"/>
              <wp:positionH relativeFrom="margin">
                <wp:align>center</wp:align>
              </wp:positionH>
              <wp:positionV relativeFrom="paragraph">
                <wp:posOffset>111760</wp:posOffset>
              </wp:positionV>
              <wp:extent cx="675005" cy="587375"/>
              <wp:effectExtent l="0" t="0" r="0" b="3175"/>
              <wp:wrapSquare wrapText="bothSides"/>
              <wp:docPr id="10403802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5005" cy="587375"/>
                      </a:xfrm>
                      <a:prstGeom prst="rect">
                        <a:avLst/>
                      </a:prstGeom>
                      <a:noFill/>
                      <a:ln>
                        <a:noFill/>
                      </a:ln>
                    </pic:spPr>
                  </pic:pic>
                </a:graphicData>
              </a:graphic>
            </wp:anchor>
          </w:drawing>
        </w:r>
      </w:p>
      <w:p w14:paraId="06725766" w14:textId="36D09AE8" w:rsidR="005225C6" w:rsidRDefault="005617AA" w:rsidP="005225C6">
        <w:pPr>
          <w:pStyle w:val="Encabezado"/>
          <w:jc w:val="right"/>
          <w:rPr>
            <w:noProof/>
          </w:rPr>
        </w:pPr>
        <w:r>
          <w:rPr>
            <w:noProof/>
          </w:rPr>
          <w:t xml:space="preserve">   </w:t>
        </w:r>
      </w:p>
      <w:p w14:paraId="4D7720E1" w14:textId="77777777" w:rsidR="005225C6" w:rsidRDefault="005225C6" w:rsidP="005225C6">
        <w:pPr>
          <w:pStyle w:val="Encabezado"/>
          <w:jc w:val="right"/>
          <w:rPr>
            <w:noProof/>
          </w:rPr>
        </w:pPr>
      </w:p>
      <w:p w14:paraId="64ACE5FF" w14:textId="54B6DE13" w:rsidR="00892C0E" w:rsidRDefault="005617AA" w:rsidP="005225C6">
        <w:pPr>
          <w:pStyle w:val="Encabezado"/>
          <w:jc w:val="right"/>
          <w:rPr>
            <w:noProof/>
          </w:rPr>
        </w:pPr>
        <w:r>
          <w:rPr>
            <w:noProof/>
          </w:rPr>
          <w:tab/>
        </w:r>
      </w:p>
      <w:p w14:paraId="0EA61A8D" w14:textId="77777777" w:rsidR="005225C6" w:rsidRDefault="005225C6">
        <w:pPr>
          <w:pStyle w:val="Encabezado"/>
          <w:jc w:val="right"/>
          <w:rPr>
            <w:rFonts w:ascii="Work Sans" w:eastAsia="Arial Unicode MS" w:hAnsi="Work Sans" w:cs="Arial"/>
            <w:bCs/>
            <w:sz w:val="18"/>
            <w:szCs w:val="36"/>
            <w:lang w:val="es-ES"/>
          </w:rPr>
        </w:pPr>
      </w:p>
      <w:p w14:paraId="2F5A2795" w14:textId="69E4EEB2" w:rsidR="00DE1913" w:rsidRDefault="003B2B73">
        <w:pPr>
          <w:pStyle w:val="Encabezado"/>
          <w:jc w:val="right"/>
        </w:pPr>
        <w:r>
          <w:rPr>
            <w:rFonts w:ascii="Work Sans" w:eastAsia="Arial Unicode MS" w:hAnsi="Work Sans" w:cs="Arial"/>
            <w:bCs/>
            <w:sz w:val="18"/>
            <w:szCs w:val="36"/>
            <w:lang w:val="es-ES"/>
          </w:rPr>
          <w:t xml:space="preserve">Página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PAGE</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Work Sans" w:eastAsia="Arial Unicode MS" w:hAnsi="Work Sans" w:cs="Arial"/>
            <w:bCs/>
            <w:sz w:val="18"/>
            <w:szCs w:val="36"/>
            <w:lang w:val="es-ES"/>
          </w:rPr>
          <w:t xml:space="preserve"> de </w:t>
        </w:r>
        <w:r>
          <w:rPr>
            <w:rFonts w:ascii="Work Sans" w:eastAsia="Arial Unicode MS" w:hAnsi="Work Sans" w:cs="Arial"/>
            <w:b/>
            <w:bCs/>
            <w:sz w:val="18"/>
            <w:szCs w:val="24"/>
            <w:lang w:val="es-ES"/>
          </w:rPr>
          <w:fldChar w:fldCharType="begin"/>
        </w:r>
        <w:r>
          <w:rPr>
            <w:rFonts w:ascii="Work Sans" w:eastAsia="Arial Unicode MS" w:hAnsi="Work Sans" w:cs="Arial"/>
            <w:b/>
            <w:bCs/>
            <w:sz w:val="18"/>
            <w:szCs w:val="24"/>
            <w:lang w:val="es-ES"/>
          </w:rPr>
          <w:instrText>NUMPAGES</w:instrText>
        </w:r>
        <w:r>
          <w:rPr>
            <w:rFonts w:ascii="Work Sans" w:eastAsia="Arial Unicode MS" w:hAnsi="Work Sans" w:cs="Arial"/>
            <w:b/>
            <w:bCs/>
            <w:sz w:val="18"/>
            <w:szCs w:val="24"/>
            <w:lang w:val="es-ES"/>
          </w:rPr>
          <w:fldChar w:fldCharType="separate"/>
        </w:r>
        <w:r w:rsidR="00DC7B37">
          <w:rPr>
            <w:rFonts w:ascii="Work Sans" w:eastAsia="Arial Unicode MS" w:hAnsi="Work Sans" w:cs="Arial"/>
            <w:b/>
            <w:bCs/>
            <w:noProof/>
            <w:sz w:val="18"/>
            <w:szCs w:val="24"/>
            <w:lang w:val="es-ES"/>
          </w:rPr>
          <w:t>1</w:t>
        </w:r>
        <w:r>
          <w:rPr>
            <w:rFonts w:ascii="Work Sans" w:eastAsia="Arial Unicode MS" w:hAnsi="Work Sans" w:cs="Arial"/>
            <w:b/>
            <w:bCs/>
            <w:sz w:val="18"/>
            <w:szCs w:val="24"/>
            <w:lang w:val="es-ES"/>
          </w:rPr>
          <w:fldChar w:fldCharType="end"/>
        </w:r>
        <w:r>
          <w:rPr>
            <w:rFonts w:ascii="Arial" w:eastAsia="Arial Unicode MS" w:hAnsi="Arial" w:cs="Arial"/>
            <w:bCs/>
            <w:sz w:val="32"/>
            <w:szCs w:val="36"/>
            <w:lang w:val="es-ES"/>
          </w:rPr>
          <w:br/>
        </w:r>
        <w:r>
          <w:rPr>
            <w:rFonts w:ascii="Free 3 of 9" w:eastAsia="Arial Unicode MS" w:hAnsi="Free 3 of 9" w:cs="Arial"/>
            <w:sz w:val="36"/>
            <w:szCs w:val="36"/>
            <w:lang w:val="es-ES"/>
          </w:rPr>
          <w:t>RAD_BARRAS</w:t>
        </w:r>
      </w:p>
      <w:p w14:paraId="30AD4C9B" w14:textId="77777777" w:rsidR="00DE1913" w:rsidRDefault="003B2B73">
        <w:pPr>
          <w:tabs>
            <w:tab w:val="left" w:pos="1485"/>
          </w:tabs>
          <w:snapToGrid w:val="0"/>
          <w:spacing w:after="0" w:line="240" w:lineRule="auto"/>
          <w:jc w:val="right"/>
          <w:textAlignment w:val="baseline"/>
          <w:rPr>
            <w:rFonts w:ascii="Work Sans" w:hAnsi="Work Sans" w:cs="Arial"/>
            <w:sz w:val="18"/>
            <w:szCs w:val="20"/>
          </w:rPr>
        </w:pPr>
        <w:r>
          <w:rPr>
            <w:rFonts w:ascii="Work Sans" w:eastAsia="Arial Unicode MS" w:hAnsi="Work Sans" w:cs="Arial"/>
            <w:sz w:val="18"/>
            <w:szCs w:val="20"/>
            <w:lang w:val="es-ES"/>
          </w:rPr>
          <w:t xml:space="preserve">Radicado No.: </w:t>
        </w:r>
        <w:proofErr w:type="spellStart"/>
        <w:r>
          <w:rPr>
            <w:rFonts w:ascii="Work Sans" w:eastAsia="Arial Unicode MS" w:hAnsi="Work Sans" w:cs="Arial"/>
            <w:sz w:val="18"/>
            <w:szCs w:val="20"/>
            <w:lang w:val="es-ES"/>
          </w:rPr>
          <w:t>rad_s</w:t>
        </w:r>
        <w:proofErr w:type="spellEnd"/>
      </w:p>
      <w:p w14:paraId="0360A91C" w14:textId="77777777" w:rsidR="00DE1913" w:rsidRDefault="003B2B73">
        <w:pPr>
          <w:tabs>
            <w:tab w:val="left" w:pos="1354"/>
            <w:tab w:val="left" w:pos="1485"/>
            <w:tab w:val="right" w:pos="9404"/>
          </w:tabs>
          <w:snapToGrid w:val="0"/>
          <w:spacing w:after="0" w:line="240" w:lineRule="auto"/>
          <w:jc w:val="right"/>
          <w:textAlignment w:val="baseline"/>
          <w:rPr>
            <w:rFonts w:ascii="Arial" w:eastAsia="Times New Roman" w:hAnsi="Arial" w:cs="Arial"/>
            <w:sz w:val="16"/>
            <w:lang w:val="es-ES"/>
          </w:rPr>
        </w:pP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Arial" w:eastAsia="Arial Unicode MS" w:hAnsi="Arial" w:cs="Arial"/>
            <w:b/>
            <w:bCs/>
            <w:iCs/>
            <w:sz w:val="14"/>
            <w:szCs w:val="20"/>
            <w:lang w:val="es-ES"/>
          </w:rPr>
          <w:tab/>
        </w:r>
        <w:r>
          <w:rPr>
            <w:rFonts w:ascii="Work Sans" w:eastAsia="Arial Unicode MS" w:hAnsi="Work Sans" w:cs="Arial"/>
            <w:iCs/>
            <w:sz w:val="18"/>
            <w:szCs w:val="20"/>
            <w:lang w:val="es-ES"/>
          </w:rPr>
          <w:t xml:space="preserve">Fecha: </w:t>
        </w:r>
        <w:proofErr w:type="spellStart"/>
        <w:r>
          <w:rPr>
            <w:rFonts w:ascii="Work Sans" w:eastAsia="Arial Unicode MS" w:hAnsi="Work Sans" w:cs="Arial"/>
            <w:iCs/>
            <w:sz w:val="18"/>
            <w:szCs w:val="20"/>
            <w:lang w:val="es-ES"/>
          </w:rPr>
          <w:t>fecha_r</w:t>
        </w:r>
        <w:proofErr w:type="spellEnd"/>
      </w:p>
    </w:sdtContent>
  </w:sdt>
  <w:p w14:paraId="2E443FA2" w14:textId="77777777" w:rsidR="00DE1913" w:rsidRDefault="00DE1913">
    <w:pPr>
      <w:tabs>
        <w:tab w:val="left" w:pos="1485"/>
      </w:tabs>
      <w:snapToGrid w:val="0"/>
      <w:spacing w:after="0" w:line="240" w:lineRule="auto"/>
      <w:jc w:val="right"/>
      <w:textAlignment w:val="baseline"/>
      <w:rPr>
        <w:rFonts w:ascii="Arial" w:hAnsi="Arial"/>
        <w:lang w:val="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B5D58"/>
    <w:multiLevelType w:val="hybridMultilevel"/>
    <w:tmpl w:val="A2CCF73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3CD57B13"/>
    <w:multiLevelType w:val="multilevel"/>
    <w:tmpl w:val="117AF5FE"/>
    <w:lvl w:ilvl="0">
      <w:start w:val="1"/>
      <w:numFmt w:val="decimal"/>
      <w:lvlText w:val="%1."/>
      <w:lvlJc w:val="left"/>
      <w:pPr>
        <w:ind w:left="720" w:hanging="360"/>
      </w:pPr>
      <w:rPr>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3C56A63"/>
    <w:multiLevelType w:val="hybridMultilevel"/>
    <w:tmpl w:val="EA08D6DC"/>
    <w:lvl w:ilvl="0" w:tplc="66E03B4A">
      <w:start w:val="1"/>
      <w:numFmt w:val="decimal"/>
      <w:lvlText w:val="%1."/>
      <w:lvlJc w:val="left"/>
      <w:pPr>
        <w:ind w:left="1211" w:hanging="360"/>
      </w:pPr>
      <w:rPr>
        <w:rFonts w:hint="default"/>
      </w:rPr>
    </w:lvl>
    <w:lvl w:ilvl="1" w:tplc="240A0019" w:tentative="1">
      <w:start w:val="1"/>
      <w:numFmt w:val="lowerLetter"/>
      <w:lvlText w:val="%2."/>
      <w:lvlJc w:val="left"/>
      <w:pPr>
        <w:ind w:left="1931" w:hanging="360"/>
      </w:pPr>
    </w:lvl>
    <w:lvl w:ilvl="2" w:tplc="240A001B" w:tentative="1">
      <w:start w:val="1"/>
      <w:numFmt w:val="lowerRoman"/>
      <w:lvlText w:val="%3."/>
      <w:lvlJc w:val="right"/>
      <w:pPr>
        <w:ind w:left="2651" w:hanging="180"/>
      </w:pPr>
    </w:lvl>
    <w:lvl w:ilvl="3" w:tplc="240A000F" w:tentative="1">
      <w:start w:val="1"/>
      <w:numFmt w:val="decimal"/>
      <w:lvlText w:val="%4."/>
      <w:lvlJc w:val="left"/>
      <w:pPr>
        <w:ind w:left="3371" w:hanging="360"/>
      </w:pPr>
    </w:lvl>
    <w:lvl w:ilvl="4" w:tplc="240A0019" w:tentative="1">
      <w:start w:val="1"/>
      <w:numFmt w:val="lowerLetter"/>
      <w:lvlText w:val="%5."/>
      <w:lvlJc w:val="left"/>
      <w:pPr>
        <w:ind w:left="4091" w:hanging="360"/>
      </w:pPr>
    </w:lvl>
    <w:lvl w:ilvl="5" w:tplc="240A001B" w:tentative="1">
      <w:start w:val="1"/>
      <w:numFmt w:val="lowerRoman"/>
      <w:lvlText w:val="%6."/>
      <w:lvlJc w:val="right"/>
      <w:pPr>
        <w:ind w:left="4811" w:hanging="180"/>
      </w:pPr>
    </w:lvl>
    <w:lvl w:ilvl="6" w:tplc="240A000F" w:tentative="1">
      <w:start w:val="1"/>
      <w:numFmt w:val="decimal"/>
      <w:lvlText w:val="%7."/>
      <w:lvlJc w:val="left"/>
      <w:pPr>
        <w:ind w:left="5531" w:hanging="360"/>
      </w:pPr>
    </w:lvl>
    <w:lvl w:ilvl="7" w:tplc="240A0019" w:tentative="1">
      <w:start w:val="1"/>
      <w:numFmt w:val="lowerLetter"/>
      <w:lvlText w:val="%8."/>
      <w:lvlJc w:val="left"/>
      <w:pPr>
        <w:ind w:left="6251" w:hanging="360"/>
      </w:pPr>
    </w:lvl>
    <w:lvl w:ilvl="8" w:tplc="240A001B" w:tentative="1">
      <w:start w:val="1"/>
      <w:numFmt w:val="lowerRoman"/>
      <w:lvlText w:val="%9."/>
      <w:lvlJc w:val="right"/>
      <w:pPr>
        <w:ind w:left="6971" w:hanging="180"/>
      </w:pPr>
    </w:lvl>
  </w:abstractNum>
  <w:abstractNum w:abstractNumId="3" w15:restartNumberingAfterBreak="0">
    <w:nsid w:val="62425BFD"/>
    <w:multiLevelType w:val="hybridMultilevel"/>
    <w:tmpl w:val="6B7250F8"/>
    <w:lvl w:ilvl="0" w:tplc="3280CEC8">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65B35451"/>
    <w:multiLevelType w:val="hybridMultilevel"/>
    <w:tmpl w:val="B0AA08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6F4D31B6"/>
    <w:multiLevelType w:val="hybridMultilevel"/>
    <w:tmpl w:val="AB40509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num w:numId="1" w16cid:durableId="1145705220">
    <w:abstractNumId w:val="2"/>
  </w:num>
  <w:num w:numId="2" w16cid:durableId="1429085699">
    <w:abstractNumId w:val="3"/>
  </w:num>
  <w:num w:numId="3" w16cid:durableId="2109807769">
    <w:abstractNumId w:val="5"/>
  </w:num>
  <w:num w:numId="4" w16cid:durableId="2057468041">
    <w:abstractNumId w:val="0"/>
  </w:num>
  <w:num w:numId="5" w16cid:durableId="686753117">
    <w:abstractNumId w:val="4"/>
  </w:num>
  <w:num w:numId="6" w16cid:durableId="38976991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913"/>
    <w:rsid w:val="00012CF1"/>
    <w:rsid w:val="00027169"/>
    <w:rsid w:val="000418C8"/>
    <w:rsid w:val="00041B57"/>
    <w:rsid w:val="000602A8"/>
    <w:rsid w:val="00097EF9"/>
    <w:rsid w:val="000B00B2"/>
    <w:rsid w:val="000D03FC"/>
    <w:rsid w:val="000D591C"/>
    <w:rsid w:val="00114814"/>
    <w:rsid w:val="001510E9"/>
    <w:rsid w:val="00163E79"/>
    <w:rsid w:val="00167494"/>
    <w:rsid w:val="00174053"/>
    <w:rsid w:val="001818F1"/>
    <w:rsid w:val="001A1CDE"/>
    <w:rsid w:val="001E1B24"/>
    <w:rsid w:val="001F0A41"/>
    <w:rsid w:val="002108AC"/>
    <w:rsid w:val="00245C2B"/>
    <w:rsid w:val="002478C2"/>
    <w:rsid w:val="00262ACE"/>
    <w:rsid w:val="002657BA"/>
    <w:rsid w:val="002D19E2"/>
    <w:rsid w:val="002D2472"/>
    <w:rsid w:val="002E528F"/>
    <w:rsid w:val="00311175"/>
    <w:rsid w:val="003121A9"/>
    <w:rsid w:val="0034510B"/>
    <w:rsid w:val="0035087F"/>
    <w:rsid w:val="003B2746"/>
    <w:rsid w:val="003B2B73"/>
    <w:rsid w:val="003B7B6C"/>
    <w:rsid w:val="003D3EBC"/>
    <w:rsid w:val="00401D2A"/>
    <w:rsid w:val="00416716"/>
    <w:rsid w:val="00423137"/>
    <w:rsid w:val="00431CA2"/>
    <w:rsid w:val="00437E90"/>
    <w:rsid w:val="00450D16"/>
    <w:rsid w:val="00452C10"/>
    <w:rsid w:val="00461946"/>
    <w:rsid w:val="004654F7"/>
    <w:rsid w:val="00484A5A"/>
    <w:rsid w:val="00496E70"/>
    <w:rsid w:val="004F70CD"/>
    <w:rsid w:val="00504D4E"/>
    <w:rsid w:val="005225C6"/>
    <w:rsid w:val="0053195C"/>
    <w:rsid w:val="0054248A"/>
    <w:rsid w:val="005617AA"/>
    <w:rsid w:val="005646C4"/>
    <w:rsid w:val="00593027"/>
    <w:rsid w:val="005932E5"/>
    <w:rsid w:val="005B1B6B"/>
    <w:rsid w:val="006240E6"/>
    <w:rsid w:val="00634A50"/>
    <w:rsid w:val="00640E5A"/>
    <w:rsid w:val="00646AE9"/>
    <w:rsid w:val="00685D95"/>
    <w:rsid w:val="0068610F"/>
    <w:rsid w:val="006E0798"/>
    <w:rsid w:val="006F10C2"/>
    <w:rsid w:val="007333C2"/>
    <w:rsid w:val="0073591D"/>
    <w:rsid w:val="00750ACC"/>
    <w:rsid w:val="0078539E"/>
    <w:rsid w:val="007A5A72"/>
    <w:rsid w:val="007D418E"/>
    <w:rsid w:val="007E470F"/>
    <w:rsid w:val="00830730"/>
    <w:rsid w:val="00835166"/>
    <w:rsid w:val="00846CAA"/>
    <w:rsid w:val="00874424"/>
    <w:rsid w:val="008912A5"/>
    <w:rsid w:val="00892C0E"/>
    <w:rsid w:val="008E4ABF"/>
    <w:rsid w:val="0091587E"/>
    <w:rsid w:val="009225C2"/>
    <w:rsid w:val="009359F1"/>
    <w:rsid w:val="00965981"/>
    <w:rsid w:val="00981241"/>
    <w:rsid w:val="009D778E"/>
    <w:rsid w:val="009E5228"/>
    <w:rsid w:val="009E5A2E"/>
    <w:rsid w:val="00A06544"/>
    <w:rsid w:val="00A25B4B"/>
    <w:rsid w:val="00A3590E"/>
    <w:rsid w:val="00A50B57"/>
    <w:rsid w:val="00A526B2"/>
    <w:rsid w:val="00A86526"/>
    <w:rsid w:val="00AD43C1"/>
    <w:rsid w:val="00AD7012"/>
    <w:rsid w:val="00AE565B"/>
    <w:rsid w:val="00B4250F"/>
    <w:rsid w:val="00B43D4F"/>
    <w:rsid w:val="00B51607"/>
    <w:rsid w:val="00B5542A"/>
    <w:rsid w:val="00B61593"/>
    <w:rsid w:val="00B644AC"/>
    <w:rsid w:val="00BA76D5"/>
    <w:rsid w:val="00BB146A"/>
    <w:rsid w:val="00BD78AA"/>
    <w:rsid w:val="00C0455B"/>
    <w:rsid w:val="00C24120"/>
    <w:rsid w:val="00C27F4D"/>
    <w:rsid w:val="00C45569"/>
    <w:rsid w:val="00C73ADA"/>
    <w:rsid w:val="00CD6FCB"/>
    <w:rsid w:val="00CF0B60"/>
    <w:rsid w:val="00D30BE5"/>
    <w:rsid w:val="00D5051D"/>
    <w:rsid w:val="00D51DBB"/>
    <w:rsid w:val="00D54F18"/>
    <w:rsid w:val="00D75E6E"/>
    <w:rsid w:val="00DA4EBD"/>
    <w:rsid w:val="00DB48D2"/>
    <w:rsid w:val="00DC7B37"/>
    <w:rsid w:val="00DD1C13"/>
    <w:rsid w:val="00DE1913"/>
    <w:rsid w:val="00E113E2"/>
    <w:rsid w:val="00E256C9"/>
    <w:rsid w:val="00E37AC0"/>
    <w:rsid w:val="00E53F02"/>
    <w:rsid w:val="00E823F2"/>
    <w:rsid w:val="00E95820"/>
    <w:rsid w:val="00EB3862"/>
    <w:rsid w:val="00EB5A27"/>
    <w:rsid w:val="00EB70D8"/>
    <w:rsid w:val="00F07032"/>
    <w:rsid w:val="00F13DEA"/>
    <w:rsid w:val="00F43E82"/>
    <w:rsid w:val="00F7580B"/>
    <w:rsid w:val="00F80A1F"/>
    <w:rsid w:val="00F94C11"/>
    <w:rsid w:val="00F97501"/>
    <w:rsid w:val="00FA2D68"/>
    <w:rsid w:val="00FA439A"/>
    <w:rsid w:val="00FA7E3D"/>
    <w:rsid w:val="00FD392C"/>
    <w:rsid w:val="00FD3F9C"/>
    <w:rsid w:val="00FE6890"/>
  </w:rsids>
  <m:mathPr>
    <m:mathFont m:val="Cambria Math"/>
    <m:brkBin m:val="before"/>
    <m:brkBinSub m:val="--"/>
    <m:smallFrac m:val="0"/>
    <m:dispDef/>
    <m:lMargin m:val="0"/>
    <m:rMargin m:val="0"/>
    <m:defJc m:val="centerGroup"/>
    <m:wrapIndent m:val="1440"/>
    <m:intLim m:val="subSup"/>
    <m:naryLim m:val="undOvr"/>
  </m:mathPr>
  <w:themeFontLang w:val="es-CO"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883ACB"/>
  <w15:docId w15:val="{3D21B7EB-ACCF-459A-9F5C-376FD846EF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5EF3"/>
    <w:pPr>
      <w:spacing w:after="200" w:line="276" w:lineRule="auto"/>
    </w:pPr>
  </w:style>
  <w:style w:type="paragraph" w:styleId="Ttulo1">
    <w:name w:val="heading 1"/>
    <w:basedOn w:val="Normal"/>
    <w:link w:val="Ttulo1Car"/>
    <w:uiPriority w:val="9"/>
    <w:qFormat/>
    <w:rsid w:val="00C45569"/>
    <w:pPr>
      <w:widowControl w:val="0"/>
      <w:suppressAutoHyphens w:val="0"/>
      <w:autoSpaceDE w:val="0"/>
      <w:autoSpaceDN w:val="0"/>
      <w:spacing w:before="98" w:after="0" w:line="240" w:lineRule="auto"/>
      <w:ind w:left="1200" w:hanging="360"/>
      <w:outlineLvl w:val="0"/>
    </w:pPr>
    <w:rPr>
      <w:rFonts w:ascii="Trebuchet MS" w:eastAsia="Trebuchet MS" w:hAnsi="Trebuchet MS" w:cs="Trebuchet MS"/>
      <w:b/>
      <w:bCs/>
      <w:sz w:val="24"/>
      <w:szCs w:val="24"/>
      <w:lang w:val="es-E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EncabezadoCar">
    <w:name w:val="Encabezado Car"/>
    <w:basedOn w:val="Fuentedeprrafopredeter"/>
    <w:link w:val="Encabezado"/>
    <w:uiPriority w:val="99"/>
    <w:qFormat/>
    <w:rsid w:val="004B5EF3"/>
  </w:style>
  <w:style w:type="character" w:customStyle="1" w:styleId="PiedepginaCar">
    <w:name w:val="Pie de página Car"/>
    <w:basedOn w:val="Fuentedeprrafopredeter"/>
    <w:link w:val="Piedepgina"/>
    <w:uiPriority w:val="99"/>
    <w:qFormat/>
    <w:rsid w:val="004B5EF3"/>
  </w:style>
  <w:style w:type="character" w:customStyle="1" w:styleId="TextoindependienteCar">
    <w:name w:val="Texto independiente Car"/>
    <w:basedOn w:val="Fuentedeprrafopredeter"/>
    <w:link w:val="Textoindependiente"/>
    <w:qFormat/>
    <w:rsid w:val="004B5EF3"/>
    <w:rPr>
      <w:rFonts w:ascii="Arial" w:eastAsia="Times New Roman" w:hAnsi="Arial" w:cs="Times New Roman"/>
      <w:sz w:val="24"/>
      <w:szCs w:val="20"/>
      <w:lang w:val="es-ES_tradnl" w:eastAsia="es-ES"/>
    </w:rPr>
  </w:style>
  <w:style w:type="character" w:customStyle="1" w:styleId="TextoindependienteCar1">
    <w:name w:val="Texto independiente Car1"/>
    <w:basedOn w:val="Fuentedeprrafopredeter"/>
    <w:uiPriority w:val="99"/>
    <w:semiHidden/>
    <w:qFormat/>
    <w:rsid w:val="004B5EF3"/>
  </w:style>
  <w:style w:type="character" w:customStyle="1" w:styleId="EncabezadoCar1">
    <w:name w:val="Encabezado Car1"/>
    <w:basedOn w:val="Fuentedeprrafopredeter"/>
    <w:uiPriority w:val="99"/>
    <w:semiHidden/>
    <w:qFormat/>
    <w:rsid w:val="004B5EF3"/>
  </w:style>
  <w:style w:type="character" w:customStyle="1" w:styleId="PiedepginaCar1">
    <w:name w:val="Pie de página Car1"/>
    <w:basedOn w:val="Fuentedeprrafopredeter"/>
    <w:uiPriority w:val="99"/>
    <w:semiHidden/>
    <w:qFormat/>
    <w:rsid w:val="004B5EF3"/>
  </w:style>
  <w:style w:type="paragraph" w:customStyle="1" w:styleId="Ttulo10">
    <w:name w:val="Título1"/>
    <w:basedOn w:val="Normal"/>
    <w:next w:val="Textoindependiente"/>
    <w:qFormat/>
    <w:pPr>
      <w:keepNext/>
      <w:spacing w:before="240" w:after="120"/>
    </w:pPr>
    <w:rPr>
      <w:rFonts w:ascii="Liberation Sans" w:eastAsia="Bitstream Vera Sans" w:hAnsi="Liberation Sans" w:cs="FreeSans"/>
      <w:sz w:val="28"/>
      <w:szCs w:val="28"/>
    </w:rPr>
  </w:style>
  <w:style w:type="paragraph" w:styleId="Textoindependiente">
    <w:name w:val="Body Text"/>
    <w:basedOn w:val="Normal"/>
    <w:link w:val="TextoindependienteCar"/>
    <w:uiPriority w:val="1"/>
    <w:qFormat/>
    <w:rsid w:val="004B5EF3"/>
    <w:pPr>
      <w:spacing w:after="0" w:line="240" w:lineRule="auto"/>
      <w:jc w:val="both"/>
    </w:pPr>
    <w:rPr>
      <w:rFonts w:ascii="Arial" w:eastAsia="Times New Roman" w:hAnsi="Arial" w:cs="Times New Roman"/>
      <w:sz w:val="24"/>
      <w:szCs w:val="20"/>
      <w:lang w:val="es-ES_tradnl" w:eastAsia="es-ES"/>
    </w:rPr>
  </w:style>
  <w:style w:type="paragraph" w:styleId="Lista">
    <w:name w:val="List"/>
    <w:basedOn w:val="Textoindependiente"/>
    <w:rPr>
      <w:rFonts w:cs="FreeSans"/>
    </w:rPr>
  </w:style>
  <w:style w:type="paragraph" w:styleId="Descripcin">
    <w:name w:val="caption"/>
    <w:basedOn w:val="Normal"/>
    <w:qFormat/>
    <w:pPr>
      <w:suppressLineNumbers/>
      <w:spacing w:before="120" w:after="120"/>
    </w:pPr>
    <w:rPr>
      <w:rFonts w:cs="FreeSans"/>
      <w:i/>
      <w:iCs/>
      <w:sz w:val="24"/>
      <w:szCs w:val="24"/>
    </w:rPr>
  </w:style>
  <w:style w:type="paragraph" w:customStyle="1" w:styleId="ndice">
    <w:name w:val="Índice"/>
    <w:basedOn w:val="Normal"/>
    <w:qFormat/>
    <w:pPr>
      <w:suppressLineNumbers/>
    </w:pPr>
    <w:rPr>
      <w:rFonts w:cs="FreeSans"/>
    </w:rPr>
  </w:style>
  <w:style w:type="paragraph" w:customStyle="1" w:styleId="Cabeceraypie">
    <w:name w:val="Cabecera y pie"/>
    <w:basedOn w:val="Normal"/>
    <w:qFormat/>
  </w:style>
  <w:style w:type="paragraph" w:styleId="Encabezado">
    <w:name w:val="header"/>
    <w:basedOn w:val="Normal"/>
    <w:link w:val="EncabezadoCar"/>
    <w:uiPriority w:val="99"/>
    <w:unhideWhenUsed/>
    <w:rsid w:val="004B5EF3"/>
    <w:pPr>
      <w:tabs>
        <w:tab w:val="center" w:pos="4419"/>
        <w:tab w:val="right" w:pos="8838"/>
      </w:tabs>
      <w:spacing w:after="0" w:line="240" w:lineRule="auto"/>
    </w:pPr>
  </w:style>
  <w:style w:type="paragraph" w:styleId="Piedepgina">
    <w:name w:val="footer"/>
    <w:basedOn w:val="Normal"/>
    <w:link w:val="PiedepginaCar"/>
    <w:uiPriority w:val="99"/>
    <w:unhideWhenUsed/>
    <w:rsid w:val="004B5EF3"/>
    <w:pPr>
      <w:tabs>
        <w:tab w:val="center" w:pos="4419"/>
        <w:tab w:val="right" w:pos="8838"/>
      </w:tabs>
      <w:spacing w:after="0" w:line="240" w:lineRule="auto"/>
    </w:pPr>
  </w:style>
  <w:style w:type="paragraph" w:customStyle="1" w:styleId="Contenidodelatabla">
    <w:name w:val="Contenido de la tabla"/>
    <w:basedOn w:val="Normal"/>
    <w:qFormat/>
    <w:pPr>
      <w:widowControl w:val="0"/>
      <w:suppressLineNumbers/>
    </w:pPr>
  </w:style>
  <w:style w:type="paragraph" w:customStyle="1" w:styleId="Ttulodelatabla">
    <w:name w:val="Título de la tabla"/>
    <w:basedOn w:val="Contenidodelatabla"/>
    <w:qFormat/>
    <w:pPr>
      <w:jc w:val="center"/>
    </w:pPr>
    <w:rPr>
      <w:b/>
      <w:bCs/>
    </w:rPr>
  </w:style>
  <w:style w:type="character" w:customStyle="1" w:styleId="Ttulo1Car">
    <w:name w:val="Título 1 Car"/>
    <w:basedOn w:val="Fuentedeprrafopredeter"/>
    <w:link w:val="Ttulo1"/>
    <w:uiPriority w:val="9"/>
    <w:rsid w:val="00C45569"/>
    <w:rPr>
      <w:rFonts w:ascii="Trebuchet MS" w:eastAsia="Trebuchet MS" w:hAnsi="Trebuchet MS" w:cs="Trebuchet MS"/>
      <w:b/>
      <w:bCs/>
      <w:sz w:val="24"/>
      <w:szCs w:val="24"/>
      <w:lang w:val="es-ES"/>
    </w:rPr>
  </w:style>
  <w:style w:type="character" w:customStyle="1" w:styleId="normaltextrun">
    <w:name w:val="normaltextrun"/>
    <w:basedOn w:val="Fuentedeprrafopredeter"/>
    <w:rsid w:val="00C45569"/>
  </w:style>
  <w:style w:type="paragraph" w:styleId="Prrafodelista">
    <w:name w:val="List Paragraph"/>
    <w:basedOn w:val="Normal"/>
    <w:uiPriority w:val="34"/>
    <w:qFormat/>
    <w:rsid w:val="00C45569"/>
    <w:pPr>
      <w:ind w:left="720"/>
      <w:contextualSpacing/>
    </w:pPr>
  </w:style>
  <w:style w:type="table" w:styleId="Tablaconcuadrcula">
    <w:name w:val="Table Grid"/>
    <w:basedOn w:val="Tablanormal"/>
    <w:uiPriority w:val="39"/>
    <w:rsid w:val="00C45569"/>
    <w:rPr>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link w:val="TextonotapieCar"/>
    <w:uiPriority w:val="99"/>
    <w:semiHidden/>
    <w:unhideWhenUsed/>
    <w:rsid w:val="00C45569"/>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C45569"/>
    <w:rPr>
      <w:sz w:val="20"/>
      <w:szCs w:val="20"/>
    </w:rPr>
  </w:style>
  <w:style w:type="character" w:styleId="Refdenotaalpie">
    <w:name w:val="footnote reference"/>
    <w:basedOn w:val="Fuentedeprrafopredeter"/>
    <w:uiPriority w:val="99"/>
    <w:semiHidden/>
    <w:unhideWhenUsed/>
    <w:rsid w:val="00C45569"/>
    <w:rPr>
      <w:vertAlign w:val="superscript"/>
    </w:rPr>
  </w:style>
  <w:style w:type="paragraph" w:customStyle="1" w:styleId="paragraph">
    <w:name w:val="paragraph"/>
    <w:basedOn w:val="Normal"/>
    <w:rsid w:val="002108AC"/>
    <w:pPr>
      <w:suppressAutoHyphens w:val="0"/>
      <w:spacing w:before="100" w:beforeAutospacing="1" w:after="100" w:afterAutospacing="1" w:line="240" w:lineRule="auto"/>
    </w:pPr>
    <w:rPr>
      <w:rFonts w:ascii="Times New Roman" w:eastAsia="Times New Roman" w:hAnsi="Times New Roman" w:cs="Times New Roman"/>
      <w:sz w:val="24"/>
      <w:szCs w:val="24"/>
      <w:lang w:eastAsia="es-CO"/>
    </w:rPr>
  </w:style>
  <w:style w:type="character" w:styleId="Hipervnculo">
    <w:name w:val="Hyperlink"/>
    <w:basedOn w:val="Fuentedeprrafopredeter"/>
    <w:uiPriority w:val="99"/>
    <w:unhideWhenUsed/>
    <w:rsid w:val="0054248A"/>
    <w:rPr>
      <w:color w:val="0563C1" w:themeColor="hyperlink"/>
      <w:u w:val="single"/>
    </w:rPr>
  </w:style>
  <w:style w:type="character" w:styleId="Mencinsinresolver">
    <w:name w:val="Unresolved Mention"/>
    <w:basedOn w:val="Fuentedeprrafopredeter"/>
    <w:uiPriority w:val="99"/>
    <w:semiHidden/>
    <w:unhideWhenUsed/>
    <w:rsid w:val="0054248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8626159">
      <w:bodyDiv w:val="1"/>
      <w:marLeft w:val="0"/>
      <w:marRight w:val="0"/>
      <w:marTop w:val="0"/>
      <w:marBottom w:val="0"/>
      <w:divBdr>
        <w:top w:val="none" w:sz="0" w:space="0" w:color="auto"/>
        <w:left w:val="none" w:sz="0" w:space="0" w:color="auto"/>
        <w:bottom w:val="none" w:sz="0" w:space="0" w:color="auto"/>
        <w:right w:val="none" w:sz="0" w:space="0" w:color="auto"/>
      </w:divBdr>
    </w:div>
    <w:div w:id="965158075">
      <w:bodyDiv w:val="1"/>
      <w:marLeft w:val="0"/>
      <w:marRight w:val="0"/>
      <w:marTop w:val="0"/>
      <w:marBottom w:val="0"/>
      <w:divBdr>
        <w:top w:val="none" w:sz="0" w:space="0" w:color="auto"/>
        <w:left w:val="none" w:sz="0" w:space="0" w:color="auto"/>
        <w:bottom w:val="none" w:sz="0" w:space="0" w:color="auto"/>
        <w:right w:val="none" w:sz="0" w:space="0" w:color="auto"/>
      </w:divBdr>
      <w:divsChild>
        <w:div w:id="1882474185">
          <w:marLeft w:val="0"/>
          <w:marRight w:val="0"/>
          <w:marTop w:val="0"/>
          <w:marBottom w:val="0"/>
          <w:divBdr>
            <w:top w:val="none" w:sz="0" w:space="0" w:color="auto"/>
            <w:left w:val="none" w:sz="0" w:space="0" w:color="auto"/>
            <w:bottom w:val="none" w:sz="0" w:space="0" w:color="auto"/>
            <w:right w:val="none" w:sz="0" w:space="0" w:color="auto"/>
          </w:divBdr>
        </w:div>
        <w:div w:id="566375962">
          <w:marLeft w:val="0"/>
          <w:marRight w:val="0"/>
          <w:marTop w:val="0"/>
          <w:marBottom w:val="0"/>
          <w:divBdr>
            <w:top w:val="none" w:sz="0" w:space="0" w:color="auto"/>
            <w:left w:val="none" w:sz="0" w:space="0" w:color="auto"/>
            <w:bottom w:val="none" w:sz="0" w:space="0" w:color="auto"/>
            <w:right w:val="none" w:sz="0" w:space="0" w:color="auto"/>
          </w:divBdr>
        </w:div>
        <w:div w:id="544176937">
          <w:marLeft w:val="0"/>
          <w:marRight w:val="0"/>
          <w:marTop w:val="0"/>
          <w:marBottom w:val="0"/>
          <w:divBdr>
            <w:top w:val="none" w:sz="0" w:space="0" w:color="auto"/>
            <w:left w:val="none" w:sz="0" w:space="0" w:color="auto"/>
            <w:bottom w:val="none" w:sz="0" w:space="0" w:color="auto"/>
            <w:right w:val="none" w:sz="0" w:space="0" w:color="auto"/>
          </w:divBdr>
        </w:div>
        <w:div w:id="150877183">
          <w:marLeft w:val="0"/>
          <w:marRight w:val="0"/>
          <w:marTop w:val="0"/>
          <w:marBottom w:val="0"/>
          <w:divBdr>
            <w:top w:val="none" w:sz="0" w:space="0" w:color="auto"/>
            <w:left w:val="none" w:sz="0" w:space="0" w:color="auto"/>
            <w:bottom w:val="none" w:sz="0" w:space="0" w:color="auto"/>
            <w:right w:val="none" w:sz="0" w:space="0" w:color="auto"/>
          </w:divBdr>
        </w:div>
        <w:div w:id="1138109715">
          <w:marLeft w:val="0"/>
          <w:marRight w:val="0"/>
          <w:marTop w:val="0"/>
          <w:marBottom w:val="0"/>
          <w:divBdr>
            <w:top w:val="none" w:sz="0" w:space="0" w:color="auto"/>
            <w:left w:val="none" w:sz="0" w:space="0" w:color="auto"/>
            <w:bottom w:val="none" w:sz="0" w:space="0" w:color="auto"/>
            <w:right w:val="none" w:sz="0" w:space="0" w:color="auto"/>
          </w:divBdr>
        </w:div>
      </w:divsChild>
    </w:div>
    <w:div w:id="1484541748">
      <w:bodyDiv w:val="1"/>
      <w:marLeft w:val="0"/>
      <w:marRight w:val="0"/>
      <w:marTop w:val="0"/>
      <w:marBottom w:val="0"/>
      <w:divBdr>
        <w:top w:val="none" w:sz="0" w:space="0" w:color="auto"/>
        <w:left w:val="none" w:sz="0" w:space="0" w:color="auto"/>
        <w:bottom w:val="none" w:sz="0" w:space="0" w:color="auto"/>
        <w:right w:val="none" w:sz="0" w:space="0" w:color="auto"/>
      </w:divBdr>
    </w:div>
    <w:div w:id="1518621642">
      <w:bodyDiv w:val="1"/>
      <w:marLeft w:val="0"/>
      <w:marRight w:val="0"/>
      <w:marTop w:val="0"/>
      <w:marBottom w:val="0"/>
      <w:divBdr>
        <w:top w:val="none" w:sz="0" w:space="0" w:color="auto"/>
        <w:left w:val="none" w:sz="0" w:space="0" w:color="auto"/>
        <w:bottom w:val="none" w:sz="0" w:space="0" w:color="auto"/>
        <w:right w:val="none" w:sz="0" w:space="0" w:color="auto"/>
      </w:divBdr>
      <w:divsChild>
        <w:div w:id="1703287956">
          <w:marLeft w:val="0"/>
          <w:marRight w:val="0"/>
          <w:marTop w:val="0"/>
          <w:marBottom w:val="0"/>
          <w:divBdr>
            <w:top w:val="none" w:sz="0" w:space="0" w:color="auto"/>
            <w:left w:val="none" w:sz="0" w:space="0" w:color="auto"/>
            <w:bottom w:val="none" w:sz="0" w:space="0" w:color="auto"/>
            <w:right w:val="none" w:sz="0" w:space="0" w:color="auto"/>
          </w:divBdr>
        </w:div>
        <w:div w:id="2046368578">
          <w:marLeft w:val="0"/>
          <w:marRight w:val="0"/>
          <w:marTop w:val="0"/>
          <w:marBottom w:val="0"/>
          <w:divBdr>
            <w:top w:val="none" w:sz="0" w:space="0" w:color="auto"/>
            <w:left w:val="none" w:sz="0" w:space="0" w:color="auto"/>
            <w:bottom w:val="none" w:sz="0" w:space="0" w:color="auto"/>
            <w:right w:val="none" w:sz="0" w:space="0" w:color="auto"/>
          </w:divBdr>
        </w:div>
        <w:div w:id="1248491949">
          <w:marLeft w:val="0"/>
          <w:marRight w:val="0"/>
          <w:marTop w:val="0"/>
          <w:marBottom w:val="0"/>
          <w:divBdr>
            <w:top w:val="none" w:sz="0" w:space="0" w:color="auto"/>
            <w:left w:val="none" w:sz="0" w:space="0" w:color="auto"/>
            <w:bottom w:val="none" w:sz="0" w:space="0" w:color="auto"/>
            <w:right w:val="none" w:sz="0" w:space="0" w:color="auto"/>
          </w:divBdr>
        </w:div>
        <w:div w:id="2084790730">
          <w:marLeft w:val="0"/>
          <w:marRight w:val="0"/>
          <w:marTop w:val="0"/>
          <w:marBottom w:val="0"/>
          <w:divBdr>
            <w:top w:val="none" w:sz="0" w:space="0" w:color="auto"/>
            <w:left w:val="none" w:sz="0" w:space="0" w:color="auto"/>
            <w:bottom w:val="none" w:sz="0" w:space="0" w:color="auto"/>
            <w:right w:val="none" w:sz="0" w:space="0" w:color="auto"/>
          </w:divBdr>
        </w:div>
        <w:div w:id="830293293">
          <w:marLeft w:val="0"/>
          <w:marRight w:val="0"/>
          <w:marTop w:val="0"/>
          <w:marBottom w:val="0"/>
          <w:divBdr>
            <w:top w:val="none" w:sz="0" w:space="0" w:color="auto"/>
            <w:left w:val="none" w:sz="0" w:space="0" w:color="auto"/>
            <w:bottom w:val="none" w:sz="0" w:space="0" w:color="auto"/>
            <w:right w:val="none" w:sz="0" w:space="0" w:color="auto"/>
          </w:divBdr>
        </w:div>
      </w:divsChild>
    </w:div>
    <w:div w:id="1732536268">
      <w:bodyDiv w:val="1"/>
      <w:marLeft w:val="0"/>
      <w:marRight w:val="0"/>
      <w:marTop w:val="0"/>
      <w:marBottom w:val="0"/>
      <w:divBdr>
        <w:top w:val="none" w:sz="0" w:space="0" w:color="auto"/>
        <w:left w:val="none" w:sz="0" w:space="0" w:color="auto"/>
        <w:bottom w:val="none" w:sz="0" w:space="0" w:color="auto"/>
        <w:right w:val="none" w:sz="0" w:space="0" w:color="auto"/>
      </w:divBdr>
    </w:div>
    <w:div w:id="1849371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servicioslinea.sic.gov.co/servilinea/ServiLinea/DemandasProtecc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1378</Words>
  <Characters>7581</Characters>
  <Application>Microsoft Office Word</Application>
  <DocSecurity>0</DocSecurity>
  <Lines>63</Lines>
  <Paragraphs>17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Comunicación Oficial</vt:lpstr>
      <vt:lpstr>Comunicación Oficial</vt:lpstr>
    </vt:vector>
  </TitlesOfParts>
  <Company>HP</Company>
  <LinksUpToDate>false</LinksUpToDate>
  <CharactersWithSpaces>8942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Comunicación Oficial</dc:title>
  <dc:subject>Comunicación Oficial</dc:subject>
  <dc:creator>Ministerio de Minas y Energía</dc:creator>
  <dc:description/>
  <cp:lastModifiedBy>DEYSI YULIETH RODRIGUEZ BERRIO</cp:lastModifiedBy>
  <cp:revision>2</cp:revision>
  <dcterms:created xsi:type="dcterms:W3CDTF">2025-06-09T17:41:00Z</dcterms:created>
  <dcterms:modified xsi:type="dcterms:W3CDTF">2025-06-09T17:41:00Z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